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045" w:rsidRDefault="00BE2045">
      <w:pPr>
        <w:pStyle w:val="Footer"/>
        <w:spacing w:line="360" w:lineRule="auto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46"/>
      </w:tblGrid>
      <w:tr w:rsidR="00BE2045" w:rsidRPr="008C2583">
        <w:trPr>
          <w:trHeight w:val="1898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045" w:rsidRPr="008C2583" w:rsidRDefault="00BE2045">
            <w:pPr>
              <w:pStyle w:val="Footer"/>
              <w:spacing w:line="360" w:lineRule="auto"/>
              <w:jc w:val="right"/>
              <w:rPr>
                <w:b/>
                <w:bCs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BE2045" w:rsidRPr="008C2583" w:rsidRDefault="00BE2045">
            <w:pPr>
              <w:pStyle w:val="Footer"/>
              <w:spacing w:line="360" w:lineRule="auto"/>
              <w:jc w:val="right"/>
              <w:rPr>
                <w:b/>
                <w:bCs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object w:dxaOrig="5227" w:dyaOrig="285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1pt;height:71.5pt" o:ole="">
                  <v:imagedata r:id="rId8" o:title=""/>
                </v:shape>
                <o:OLEObject Type="Embed" ProgID="DellImageExpertImage" ShapeID="_x0000_i1025" DrawAspect="Content" ObjectID="_1550585453" r:id="rId9"/>
              </w:object>
            </w:r>
            <w:r w:rsidR="009D5D6A">
              <w:t xml:space="preserve">                     </w:t>
            </w:r>
            <w:r>
              <w:t xml:space="preserve"> </w:t>
            </w:r>
            <w:r>
              <w:rPr>
                <w:b/>
                <w:bCs/>
                <w:i/>
                <w:iCs/>
                <w:sz w:val="40"/>
                <w:szCs w:val="40"/>
                <w:lang w:val="en-US"/>
              </w:rPr>
              <w:t>Quarterly Statistical Release</w:t>
            </w:r>
            <w:r w:rsidR="009D5D6A">
              <w:t xml:space="preserve"> </w:t>
            </w:r>
            <w:r>
              <w:t xml:space="preserve"> </w:t>
            </w:r>
          </w:p>
        </w:tc>
      </w:tr>
    </w:tbl>
    <w:p w:rsidR="004B44B7" w:rsidRPr="008C2583" w:rsidRDefault="004B44B7">
      <w:pPr>
        <w:pStyle w:val="Footer"/>
        <w:spacing w:line="360" w:lineRule="auto"/>
        <w:jc w:val="right"/>
        <w:rPr>
          <w:b/>
          <w:bCs/>
          <w:sz w:val="24"/>
          <w:szCs w:val="24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5717E" w:rsidRDefault="00D5717E" w:rsidP="00D5717E">
      <w:pPr>
        <w:pStyle w:val="Footer"/>
        <w:spacing w:line="360" w:lineRule="auto"/>
        <w:jc w:val="right"/>
        <w:rPr>
          <w:rFonts w:ascii="Comic Sans MS" w:hAnsi="Comic Sans MS"/>
        </w:rPr>
      </w:pPr>
      <w:r w:rsidRPr="00D5717E">
        <w:rPr>
          <w:b/>
          <w:bCs/>
          <w:sz w:val="24"/>
          <w:szCs w:val="24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March 2017</w:t>
      </w:r>
      <w:r w:rsidRPr="00D5717E">
        <w:rPr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N° 68</w:t>
      </w:r>
    </w:p>
    <w:p w:rsidR="00BE2045" w:rsidRDefault="00BE2045" w:rsidP="00104F7D">
      <w:pPr>
        <w:pStyle w:val="Footer"/>
        <w:jc w:val="right"/>
        <w:outlineLvl w:val="0"/>
        <w:rPr>
          <w:b/>
          <w:bCs/>
          <w:i/>
          <w:iCs/>
          <w:sz w:val="18"/>
          <w:szCs w:val="18"/>
          <w:lang w:val="en-US"/>
        </w:rPr>
      </w:pPr>
      <w:r>
        <w:rPr>
          <w:b/>
          <w:bCs/>
          <w:i/>
          <w:iCs/>
          <w:sz w:val="18"/>
          <w:szCs w:val="18"/>
          <w:lang w:val="en-US"/>
        </w:rPr>
        <w:t>This release and other statistical</w:t>
      </w:r>
    </w:p>
    <w:p w:rsidR="00BE2045" w:rsidRDefault="00F652C2">
      <w:pPr>
        <w:pStyle w:val="Footer"/>
        <w:jc w:val="right"/>
        <w:rPr>
          <w:b/>
          <w:bCs/>
          <w:i/>
          <w:iCs/>
          <w:sz w:val="18"/>
          <w:szCs w:val="18"/>
          <w:lang w:val="en-US"/>
        </w:rPr>
      </w:pPr>
      <w:proofErr w:type="gramStart"/>
      <w:r>
        <w:rPr>
          <w:b/>
          <w:bCs/>
          <w:i/>
          <w:iCs/>
          <w:sz w:val="18"/>
          <w:szCs w:val="18"/>
          <w:lang w:val="en-US"/>
        </w:rPr>
        <w:t>releases</w:t>
      </w:r>
      <w:proofErr w:type="gramEnd"/>
      <w:r>
        <w:rPr>
          <w:b/>
          <w:bCs/>
          <w:i/>
          <w:iCs/>
          <w:sz w:val="18"/>
          <w:szCs w:val="18"/>
          <w:lang w:val="en-US"/>
        </w:rPr>
        <w:t xml:space="preserve"> are available on E</w:t>
      </w:r>
      <w:r w:rsidR="00BE2045">
        <w:rPr>
          <w:b/>
          <w:bCs/>
          <w:i/>
          <w:iCs/>
          <w:sz w:val="18"/>
          <w:szCs w:val="18"/>
          <w:lang w:val="en-US"/>
        </w:rPr>
        <w:t>fama’s</w:t>
      </w:r>
    </w:p>
    <w:p w:rsidR="00BE2045" w:rsidRDefault="00BE2045">
      <w:pPr>
        <w:pStyle w:val="Footer"/>
        <w:jc w:val="right"/>
        <w:rPr>
          <w:b/>
          <w:bCs/>
          <w:i/>
          <w:iCs/>
          <w:sz w:val="18"/>
          <w:szCs w:val="18"/>
          <w:lang w:val="en-US"/>
        </w:rPr>
      </w:pPr>
      <w:proofErr w:type="gramStart"/>
      <w:r>
        <w:rPr>
          <w:b/>
          <w:bCs/>
          <w:i/>
          <w:iCs/>
          <w:sz w:val="18"/>
          <w:szCs w:val="18"/>
          <w:lang w:val="en-US"/>
        </w:rPr>
        <w:t>website</w:t>
      </w:r>
      <w:proofErr w:type="gramEnd"/>
      <w:r>
        <w:rPr>
          <w:b/>
          <w:bCs/>
          <w:i/>
          <w:iCs/>
          <w:sz w:val="18"/>
          <w:szCs w:val="18"/>
          <w:lang w:val="en-US"/>
        </w:rPr>
        <w:t xml:space="preserve"> (</w:t>
      </w:r>
      <w:hyperlink r:id="rId10" w:history="1">
        <w:r>
          <w:rPr>
            <w:rStyle w:val="Hyperlink"/>
            <w:b/>
            <w:bCs/>
            <w:i/>
            <w:iCs/>
            <w:sz w:val="18"/>
            <w:szCs w:val="18"/>
          </w:rPr>
          <w:t>www.efama.org</w:t>
        </w:r>
      </w:hyperlink>
      <w:r>
        <w:rPr>
          <w:b/>
          <w:bCs/>
          <w:i/>
          <w:iCs/>
          <w:sz w:val="18"/>
          <w:szCs w:val="18"/>
          <w:lang w:val="en-US"/>
        </w:rPr>
        <w:t>)</w:t>
      </w:r>
    </w:p>
    <w:p w:rsidR="00BE2045" w:rsidRDefault="00BE2045">
      <w:pPr>
        <w:pStyle w:val="Footer"/>
        <w:rPr>
          <w:b/>
          <w:bCs/>
          <w:i/>
          <w:iCs/>
          <w:sz w:val="18"/>
          <w:szCs w:val="18"/>
          <w:lang w:val="en-US"/>
        </w:rPr>
      </w:pPr>
    </w:p>
    <w:p w:rsidR="00BE2045" w:rsidRDefault="00BE2045">
      <w:pPr>
        <w:pStyle w:val="Footer"/>
        <w:jc w:val="center"/>
        <w:rPr>
          <w:b/>
          <w:bCs/>
          <w:sz w:val="18"/>
          <w:szCs w:val="18"/>
          <w:lang w:val="en-US"/>
        </w:rPr>
      </w:pPr>
    </w:p>
    <w:p w:rsidR="00BE2045" w:rsidRDefault="00BE2045">
      <w:pPr>
        <w:pStyle w:val="Footer"/>
        <w:jc w:val="center"/>
        <w:rPr>
          <w:b/>
          <w:bCs/>
          <w:sz w:val="18"/>
          <w:szCs w:val="18"/>
          <w:lang w:val="en-US"/>
        </w:rPr>
      </w:pPr>
    </w:p>
    <w:p w:rsidR="00BE2045" w:rsidRDefault="00BE2045">
      <w:pPr>
        <w:pStyle w:val="Footer"/>
        <w:jc w:val="center"/>
        <w:rPr>
          <w:b/>
          <w:bCs/>
          <w:sz w:val="40"/>
          <w:szCs w:val="18"/>
          <w:lang w:val="en-US"/>
        </w:rPr>
      </w:pPr>
    </w:p>
    <w:p w:rsidR="00BE2045" w:rsidRDefault="00BE2045" w:rsidP="00340C4D">
      <w:pPr>
        <w:pStyle w:val="Footer"/>
        <w:rPr>
          <w:b/>
          <w:bCs/>
          <w:sz w:val="40"/>
          <w:szCs w:val="18"/>
          <w:lang w:val="en-US"/>
        </w:rPr>
      </w:pPr>
    </w:p>
    <w:p w:rsidR="00340C4D" w:rsidRDefault="00340C4D" w:rsidP="00340C4D">
      <w:pPr>
        <w:pStyle w:val="Footer"/>
        <w:rPr>
          <w:b/>
          <w:bCs/>
          <w:sz w:val="18"/>
          <w:szCs w:val="18"/>
          <w:lang w:val="en-US"/>
        </w:rPr>
      </w:pPr>
    </w:p>
    <w:p w:rsidR="00495840" w:rsidRDefault="00495840">
      <w:pPr>
        <w:pStyle w:val="Footer"/>
        <w:jc w:val="center"/>
        <w:rPr>
          <w:b/>
          <w:bCs/>
          <w:sz w:val="18"/>
          <w:szCs w:val="18"/>
          <w:lang w:val="en-US"/>
        </w:rPr>
      </w:pPr>
    </w:p>
    <w:p w:rsidR="00BE2045" w:rsidRDefault="00BE2045">
      <w:pPr>
        <w:pStyle w:val="Footer"/>
        <w:jc w:val="center"/>
        <w:rPr>
          <w:b/>
          <w:bCs/>
          <w:sz w:val="18"/>
          <w:szCs w:val="18"/>
          <w:lang w:val="en-US"/>
        </w:rPr>
      </w:pPr>
    </w:p>
    <w:p w:rsidR="00E31FD0" w:rsidRDefault="00E31FD0">
      <w:pPr>
        <w:pStyle w:val="Footer"/>
        <w:jc w:val="center"/>
        <w:rPr>
          <w:b/>
          <w:bCs/>
          <w:sz w:val="18"/>
          <w:szCs w:val="18"/>
          <w:lang w:val="en-US"/>
        </w:rPr>
      </w:pPr>
    </w:p>
    <w:p w:rsidR="00887A60" w:rsidRDefault="00887A60">
      <w:pPr>
        <w:pStyle w:val="Footer"/>
        <w:jc w:val="center"/>
        <w:rPr>
          <w:b/>
          <w:bCs/>
          <w:sz w:val="18"/>
          <w:szCs w:val="18"/>
          <w:lang w:val="en-US"/>
        </w:rPr>
      </w:pPr>
    </w:p>
    <w:p w:rsidR="00BE2045" w:rsidRDefault="00BE2045">
      <w:pPr>
        <w:pStyle w:val="Footer"/>
        <w:jc w:val="center"/>
        <w:rPr>
          <w:b/>
          <w:bCs/>
          <w:sz w:val="18"/>
          <w:szCs w:val="18"/>
          <w:lang w:val="en-US"/>
        </w:rPr>
      </w:pPr>
    </w:p>
    <w:p w:rsidR="00D5717E" w:rsidRDefault="00D5717E" w:rsidP="00D5717E">
      <w:pPr>
        <w:pStyle w:val="Footer"/>
        <w:jc w:val="center"/>
        <w:outlineLvl w:val="0"/>
        <w:rPr>
          <w:b/>
          <w:bCs/>
          <w:i/>
          <w:iCs/>
          <w:sz w:val="40"/>
          <w:szCs w:val="40"/>
          <w:lang w:val="en-US"/>
        </w:rPr>
      </w:pPr>
      <w:r>
        <w:rPr>
          <w:b/>
          <w:bCs/>
          <w:i/>
          <w:iCs/>
          <w:sz w:val="40"/>
          <w:szCs w:val="40"/>
          <w:lang w:val="en-US"/>
        </w:rPr>
        <w:t>Trends in the European Investment Fund Industry</w:t>
      </w:r>
    </w:p>
    <w:p w:rsidR="00D5717E" w:rsidRDefault="00D5717E" w:rsidP="00D5717E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</w:p>
    <w:p w:rsidR="00D5717E" w:rsidRDefault="00D5717E" w:rsidP="00D5717E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  <w:proofErr w:type="gramStart"/>
      <w:r>
        <w:rPr>
          <w:b/>
          <w:bCs/>
          <w:i/>
          <w:iCs/>
          <w:sz w:val="40"/>
          <w:szCs w:val="40"/>
          <w:lang w:val="en-US"/>
        </w:rPr>
        <w:t>in</w:t>
      </w:r>
      <w:proofErr w:type="gramEnd"/>
      <w:r>
        <w:rPr>
          <w:b/>
          <w:bCs/>
          <w:i/>
          <w:iCs/>
          <w:sz w:val="40"/>
          <w:szCs w:val="40"/>
          <w:lang w:val="en-US"/>
        </w:rPr>
        <w:t xml:space="preserve"> the Fourth Quarter of 2016</w:t>
      </w:r>
    </w:p>
    <w:p w:rsidR="00D5717E" w:rsidRDefault="00D5717E" w:rsidP="00D5717E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</w:p>
    <w:p w:rsidR="00D5717E" w:rsidRDefault="00D5717E" w:rsidP="00D5717E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  <w:r>
        <w:rPr>
          <w:b/>
          <w:bCs/>
          <w:i/>
          <w:iCs/>
          <w:sz w:val="40"/>
          <w:szCs w:val="40"/>
          <w:lang w:val="en-US"/>
        </w:rPr>
        <w:t>&amp;</w:t>
      </w:r>
    </w:p>
    <w:p w:rsidR="00D5717E" w:rsidRDefault="00D5717E" w:rsidP="00D5717E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</w:p>
    <w:p w:rsidR="00D5717E" w:rsidRDefault="00D5717E" w:rsidP="00D5717E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  <w:r>
        <w:rPr>
          <w:b/>
          <w:bCs/>
          <w:i/>
          <w:iCs/>
          <w:sz w:val="40"/>
          <w:szCs w:val="40"/>
          <w:lang w:val="en-US"/>
        </w:rPr>
        <w:t>Results for the Full Year of 2016</w:t>
      </w:r>
    </w:p>
    <w:p w:rsidR="00767566" w:rsidRDefault="00767566" w:rsidP="008F2549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</w:p>
    <w:p w:rsidR="00AC73EA" w:rsidRDefault="00AC73EA" w:rsidP="008F2549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</w:p>
    <w:p w:rsidR="00C31FBE" w:rsidRDefault="00C31FBE" w:rsidP="008F2549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</w:p>
    <w:p w:rsidR="00BA0A3A" w:rsidRDefault="00BA0A3A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</w:p>
    <w:p w:rsidR="00AC73EA" w:rsidRDefault="00AC73EA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</w:p>
    <w:p w:rsidR="008516E2" w:rsidRDefault="008516E2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3"/>
      </w:tblGrid>
      <w:tr w:rsidR="00BE2045" w:rsidRPr="00A50638">
        <w:trPr>
          <w:trHeight w:val="161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045" w:rsidRDefault="00BE2045">
            <w:pPr>
              <w:pStyle w:val="Footer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  <w:p w:rsidR="00BE2045" w:rsidRDefault="00BE2045">
            <w:pPr>
              <w:pStyle w:val="Footer"/>
              <w:jc w:val="center"/>
              <w:rPr>
                <w:b/>
                <w:bCs/>
                <w:sz w:val="18"/>
                <w:szCs w:val="16"/>
                <w:lang w:val="en-US"/>
              </w:rPr>
            </w:pPr>
            <w:r>
              <w:rPr>
                <w:b/>
                <w:bCs/>
                <w:sz w:val="18"/>
                <w:szCs w:val="16"/>
                <w:lang w:val="en-US"/>
              </w:rPr>
              <w:t>This report was prepared by Bernard Delbecque</w:t>
            </w:r>
            <w:r w:rsidR="00502D22">
              <w:rPr>
                <w:b/>
                <w:bCs/>
                <w:sz w:val="18"/>
                <w:szCs w:val="16"/>
                <w:lang w:val="en-US"/>
              </w:rPr>
              <w:t xml:space="preserve"> </w:t>
            </w:r>
            <w:r w:rsidR="00AC73EA">
              <w:rPr>
                <w:b/>
                <w:bCs/>
                <w:sz w:val="18"/>
                <w:szCs w:val="16"/>
                <w:lang w:val="en-US"/>
              </w:rPr>
              <w:t xml:space="preserve">and </w:t>
            </w:r>
            <w:r w:rsidR="00326400">
              <w:rPr>
                <w:b/>
                <w:bCs/>
                <w:sz w:val="18"/>
                <w:szCs w:val="16"/>
                <w:lang w:val="en-US"/>
              </w:rPr>
              <w:t>Alex Carroll</w:t>
            </w:r>
          </w:p>
          <w:p w:rsidR="00BE2045" w:rsidRDefault="008C2583">
            <w:pPr>
              <w:pStyle w:val="Footer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noProof/>
                <w:szCs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47625</wp:posOffset>
                      </wp:positionV>
                      <wp:extent cx="5038725" cy="0"/>
                      <wp:effectExtent l="0" t="0" r="0" b="0"/>
                      <wp:wrapSquare wrapText="bothSides"/>
                      <wp:docPr id="1" name="Lin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0387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588C16" id="Line 43" o:spid="_x0000_s1026" style="position:absolute;flip:y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25pt,3.75pt" to="429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">
                      <w10:wrap type="square"/>
                    </v:line>
                  </w:pict>
                </mc:Fallback>
              </mc:AlternateContent>
            </w:r>
          </w:p>
          <w:p w:rsidR="00BE2045" w:rsidRDefault="00BE2045">
            <w:pPr>
              <w:pStyle w:val="Footer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EFAMA</w:t>
            </w:r>
          </w:p>
          <w:p w:rsidR="00BE2045" w:rsidRDefault="00BE2045">
            <w:pPr>
              <w:pStyle w:val="Footer"/>
              <w:jc w:val="center"/>
              <w:rPr>
                <w:b/>
                <w:bCs/>
                <w:sz w:val="18"/>
                <w:szCs w:val="16"/>
              </w:rPr>
            </w:pPr>
            <w:r>
              <w:rPr>
                <w:b/>
                <w:bCs/>
                <w:sz w:val="18"/>
                <w:szCs w:val="16"/>
              </w:rPr>
              <w:t>The European Fund and Asset Management Association</w:t>
            </w:r>
          </w:p>
          <w:p w:rsidR="00BE2045" w:rsidRDefault="00BE2045">
            <w:pPr>
              <w:pStyle w:val="Footer"/>
              <w:jc w:val="both"/>
              <w:rPr>
                <w:b/>
                <w:bCs/>
                <w:sz w:val="18"/>
                <w:szCs w:val="16"/>
                <w:lang w:val="en-US"/>
              </w:rPr>
            </w:pPr>
          </w:p>
          <w:p w:rsidR="00BE2045" w:rsidRPr="008C2583" w:rsidRDefault="00495840">
            <w:pPr>
              <w:pStyle w:val="Footer"/>
              <w:spacing w:line="360" w:lineRule="auto"/>
              <w:jc w:val="center"/>
              <w:rPr>
                <w:b/>
                <w:bCs/>
                <w:sz w:val="18"/>
                <w:szCs w:val="24"/>
                <w:lang w:val="fr-B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b/>
                <w:bCs/>
                <w:sz w:val="18"/>
                <w:szCs w:val="16"/>
                <w:lang w:val="fr-BE"/>
              </w:rPr>
              <w:t>Rue Montoyer 47 - B-100</w:t>
            </w:r>
            <w:r w:rsidR="00BE2045">
              <w:rPr>
                <w:b/>
                <w:bCs/>
                <w:sz w:val="18"/>
                <w:szCs w:val="16"/>
                <w:lang w:val="fr-BE"/>
              </w:rPr>
              <w:t>0 BRUXELLES - Tel. 32-2-513.39.69 Fax: 32-2-513.26.43 - e-mail: info@efama.org</w:t>
            </w:r>
          </w:p>
        </w:tc>
      </w:tr>
    </w:tbl>
    <w:p w:rsidR="001F6F91" w:rsidRPr="008C2583" w:rsidRDefault="00AC73EA" w:rsidP="000405CD">
      <w:pPr>
        <w:pStyle w:val="Footer"/>
        <w:ind w:left="4320" w:hanging="4320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50638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  <w:r w:rsidR="001F6F91" w:rsidRPr="008C2583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Highlights</w:t>
      </w:r>
    </w:p>
    <w:p w:rsidR="00EC353F" w:rsidRDefault="00EC353F" w:rsidP="002055B4">
      <w:pPr>
        <w:spacing w:line="300" w:lineRule="exact"/>
        <w:jc w:val="both"/>
        <w:rPr>
          <w:b/>
          <w:bCs/>
          <w:color w:val="0000FF"/>
          <w:sz w:val="22"/>
          <w:szCs w:val="22"/>
        </w:rPr>
      </w:pPr>
    </w:p>
    <w:p w:rsidR="00B54E40" w:rsidRPr="00A02572" w:rsidRDefault="00315D89" w:rsidP="00A02572">
      <w:pPr>
        <w:spacing w:line="260" w:lineRule="exact"/>
        <w:jc w:val="both"/>
        <w:rPr>
          <w:b/>
          <w:bCs/>
          <w:color w:val="0000FF"/>
          <w:sz w:val="22"/>
          <w:szCs w:val="22"/>
        </w:rPr>
      </w:pPr>
      <w:r w:rsidRPr="00A02572">
        <w:rPr>
          <w:b/>
          <w:bCs/>
          <w:color w:val="0000FF"/>
          <w:sz w:val="22"/>
          <w:szCs w:val="22"/>
        </w:rPr>
        <w:t>2016</w:t>
      </w:r>
      <w:r w:rsidR="001F6F91" w:rsidRPr="00A02572">
        <w:rPr>
          <w:b/>
          <w:bCs/>
          <w:color w:val="0000FF"/>
          <w:sz w:val="22"/>
          <w:szCs w:val="22"/>
        </w:rPr>
        <w:t xml:space="preserve"> was a</w:t>
      </w:r>
      <w:r w:rsidR="002055B4" w:rsidRPr="00A02572">
        <w:rPr>
          <w:b/>
          <w:bCs/>
          <w:color w:val="0000FF"/>
          <w:sz w:val="22"/>
          <w:szCs w:val="22"/>
        </w:rPr>
        <w:t>nother</w:t>
      </w:r>
      <w:r w:rsidR="001F6F91" w:rsidRPr="00A02572">
        <w:rPr>
          <w:b/>
          <w:bCs/>
          <w:color w:val="0000FF"/>
          <w:sz w:val="22"/>
          <w:szCs w:val="22"/>
        </w:rPr>
        <w:t xml:space="preserve"> record year for the European investment fund industry</w:t>
      </w:r>
      <w:r w:rsidR="002055B4" w:rsidRPr="00A02572">
        <w:rPr>
          <w:b/>
          <w:bCs/>
          <w:color w:val="0000FF"/>
          <w:sz w:val="22"/>
          <w:szCs w:val="22"/>
        </w:rPr>
        <w:t xml:space="preserve">, with net assets of European investment funds rising to </w:t>
      </w:r>
      <w:r w:rsidR="001F6F91" w:rsidRPr="00A02572">
        <w:rPr>
          <w:b/>
          <w:bCs/>
          <w:color w:val="0000FF"/>
          <w:sz w:val="22"/>
          <w:szCs w:val="22"/>
        </w:rPr>
        <w:t>an all-time high</w:t>
      </w:r>
      <w:r w:rsidR="00C31E4E" w:rsidRPr="00A02572">
        <w:rPr>
          <w:b/>
          <w:bCs/>
          <w:color w:val="0000FF"/>
          <w:sz w:val="22"/>
          <w:szCs w:val="22"/>
        </w:rPr>
        <w:t xml:space="preserve"> of EUR 14,142</w:t>
      </w:r>
      <w:r w:rsidR="002055B4" w:rsidRPr="00A02572">
        <w:rPr>
          <w:b/>
          <w:bCs/>
          <w:color w:val="0000FF"/>
          <w:sz w:val="22"/>
          <w:szCs w:val="22"/>
        </w:rPr>
        <w:t xml:space="preserve"> billion and net sales of AIF reaching an all-time high of EUR 184 billion.</w:t>
      </w:r>
      <w:r w:rsidR="00A02572" w:rsidRPr="00A02572">
        <w:rPr>
          <w:b/>
          <w:bCs/>
          <w:color w:val="0000FF"/>
          <w:sz w:val="22"/>
          <w:szCs w:val="22"/>
        </w:rPr>
        <w:t xml:space="preserve">  </w:t>
      </w:r>
      <w:r w:rsidR="00F3599A" w:rsidRPr="00A02572">
        <w:rPr>
          <w:b/>
          <w:bCs/>
          <w:color w:val="0000FF"/>
          <w:sz w:val="22"/>
          <w:szCs w:val="22"/>
        </w:rPr>
        <w:t xml:space="preserve">Although lower than </w:t>
      </w:r>
      <w:r w:rsidR="00A02572" w:rsidRPr="00A02572">
        <w:rPr>
          <w:b/>
          <w:bCs/>
          <w:color w:val="0000FF"/>
          <w:sz w:val="22"/>
          <w:szCs w:val="22"/>
        </w:rPr>
        <w:t xml:space="preserve">in </w:t>
      </w:r>
      <w:r w:rsidR="00F3599A" w:rsidRPr="00A02572">
        <w:rPr>
          <w:b/>
          <w:bCs/>
          <w:color w:val="0000FF"/>
          <w:sz w:val="22"/>
          <w:szCs w:val="22"/>
        </w:rPr>
        <w:t xml:space="preserve">the record-breaking years of 2014 and 2015, </w:t>
      </w:r>
      <w:r w:rsidR="00A02572" w:rsidRPr="00A02572">
        <w:rPr>
          <w:b/>
          <w:bCs/>
          <w:color w:val="0000FF"/>
          <w:sz w:val="22"/>
          <w:szCs w:val="22"/>
        </w:rPr>
        <w:t xml:space="preserve">the net sales of </w:t>
      </w:r>
      <w:r w:rsidR="00BB301D" w:rsidRPr="00A02572">
        <w:rPr>
          <w:b/>
          <w:bCs/>
          <w:color w:val="0000FF"/>
          <w:sz w:val="22"/>
          <w:szCs w:val="22"/>
        </w:rPr>
        <w:t xml:space="preserve">UCITS </w:t>
      </w:r>
      <w:r w:rsidR="00A02572" w:rsidRPr="00A02572">
        <w:rPr>
          <w:b/>
          <w:bCs/>
          <w:color w:val="0000FF"/>
          <w:sz w:val="22"/>
          <w:szCs w:val="22"/>
        </w:rPr>
        <w:t xml:space="preserve">were higher in 2016 </w:t>
      </w:r>
      <w:r w:rsidR="00771884" w:rsidRPr="00A02572">
        <w:rPr>
          <w:b/>
          <w:bCs/>
          <w:color w:val="0000FF"/>
          <w:sz w:val="22"/>
          <w:szCs w:val="22"/>
        </w:rPr>
        <w:t>than any single year from 2007 to</w:t>
      </w:r>
      <w:r w:rsidR="00BB301D" w:rsidRPr="00A02572">
        <w:rPr>
          <w:b/>
          <w:bCs/>
          <w:color w:val="0000FF"/>
          <w:sz w:val="22"/>
          <w:szCs w:val="22"/>
        </w:rPr>
        <w:t xml:space="preserve"> 2013.</w:t>
      </w:r>
    </w:p>
    <w:p w:rsidR="00A50638" w:rsidRPr="00A02572" w:rsidRDefault="00A50638" w:rsidP="00A02572">
      <w:pPr>
        <w:spacing w:line="260" w:lineRule="exact"/>
        <w:jc w:val="both"/>
        <w:rPr>
          <w:b/>
          <w:bCs/>
          <w:color w:val="0000FF"/>
          <w:sz w:val="22"/>
          <w:szCs w:val="22"/>
        </w:rPr>
      </w:pPr>
    </w:p>
    <w:p w:rsidR="00A50638" w:rsidRPr="00A02572" w:rsidRDefault="00A50638" w:rsidP="00A02572">
      <w:pPr>
        <w:spacing w:line="260" w:lineRule="exact"/>
        <w:jc w:val="both"/>
        <w:rPr>
          <w:b/>
          <w:bCs/>
          <w:color w:val="000000"/>
          <w:sz w:val="22"/>
          <w:szCs w:val="22"/>
          <w:u w:val="single"/>
        </w:rPr>
      </w:pPr>
      <w:r w:rsidRPr="00A02572">
        <w:rPr>
          <w:b/>
          <w:bCs/>
          <w:color w:val="0000FF"/>
          <w:sz w:val="22"/>
          <w:szCs w:val="22"/>
        </w:rPr>
        <w:t>Further highlights on the developments in 2016 include:</w:t>
      </w:r>
    </w:p>
    <w:p w:rsidR="00A50638" w:rsidRPr="00A02572" w:rsidRDefault="00A50638" w:rsidP="00A02572">
      <w:pPr>
        <w:autoSpaceDE/>
        <w:autoSpaceDN/>
        <w:spacing w:line="260" w:lineRule="exact"/>
        <w:ind w:left="720"/>
        <w:contextualSpacing/>
        <w:jc w:val="both"/>
        <w:rPr>
          <w:rFonts w:eastAsia="Calibri"/>
          <w:b/>
          <w:sz w:val="22"/>
          <w:szCs w:val="22"/>
        </w:rPr>
      </w:pPr>
    </w:p>
    <w:p w:rsidR="00A50638" w:rsidRPr="00A02572" w:rsidRDefault="00A50638" w:rsidP="00A02572">
      <w:pPr>
        <w:numPr>
          <w:ilvl w:val="0"/>
          <w:numId w:val="29"/>
        </w:numPr>
        <w:autoSpaceDE/>
        <w:autoSpaceDN/>
        <w:spacing w:line="260" w:lineRule="exact"/>
        <w:contextualSpacing/>
        <w:jc w:val="both"/>
        <w:rPr>
          <w:rFonts w:eastAsia="Calibri"/>
          <w:b/>
          <w:sz w:val="22"/>
          <w:szCs w:val="22"/>
        </w:rPr>
      </w:pPr>
      <w:r w:rsidRPr="00A02572">
        <w:rPr>
          <w:rFonts w:eastAsia="Calibri"/>
          <w:color w:val="0000FF"/>
          <w:sz w:val="22"/>
          <w:szCs w:val="22"/>
        </w:rPr>
        <w:t>Net sales of UCITS reached EUR 275 billion, compared to EUR 590 billion in 2015 and EUR 189 billion on average in 2007-2013.</w:t>
      </w:r>
    </w:p>
    <w:p w:rsidR="00A50638" w:rsidRPr="00A02572" w:rsidRDefault="00A50638" w:rsidP="00A02572">
      <w:pPr>
        <w:autoSpaceDE/>
        <w:autoSpaceDN/>
        <w:spacing w:line="260" w:lineRule="exact"/>
        <w:ind w:left="720"/>
        <w:contextualSpacing/>
        <w:jc w:val="both"/>
        <w:rPr>
          <w:rFonts w:eastAsia="Calibri"/>
          <w:b/>
          <w:sz w:val="22"/>
          <w:szCs w:val="22"/>
        </w:rPr>
      </w:pPr>
      <w:r w:rsidRPr="00A02572">
        <w:rPr>
          <w:rFonts w:eastAsia="Calibri"/>
          <w:b/>
          <w:sz w:val="22"/>
          <w:szCs w:val="22"/>
        </w:rPr>
        <w:t xml:space="preserve">    </w:t>
      </w:r>
    </w:p>
    <w:p w:rsidR="00A50638" w:rsidRPr="00A02572" w:rsidRDefault="00A50638" w:rsidP="00A02572">
      <w:pPr>
        <w:pStyle w:val="ListParagraph"/>
        <w:numPr>
          <w:ilvl w:val="0"/>
          <w:numId w:val="46"/>
        </w:numPr>
        <w:spacing w:after="0" w:line="260" w:lineRule="exact"/>
        <w:jc w:val="both"/>
        <w:rPr>
          <w:rFonts w:ascii="Times New Roman" w:hAnsi="Times New Roman"/>
          <w:color w:val="000000"/>
        </w:rPr>
      </w:pPr>
      <w:r w:rsidRPr="00A02572">
        <w:rPr>
          <w:rFonts w:ascii="Times New Roman" w:hAnsi="Times New Roman"/>
          <w:color w:val="000000"/>
        </w:rPr>
        <w:t>Equity funds suffered a negative turnaround in net sales in 2016, as net sales never really recovered from the stock market sell-off in January.</w:t>
      </w:r>
    </w:p>
    <w:p w:rsidR="00A02572" w:rsidRPr="00A02572" w:rsidRDefault="00A02572" w:rsidP="00A02572">
      <w:pPr>
        <w:pStyle w:val="ListParagraph"/>
        <w:spacing w:after="0" w:line="260" w:lineRule="exact"/>
        <w:ind w:left="1080"/>
        <w:jc w:val="both"/>
        <w:rPr>
          <w:rFonts w:ascii="Times New Roman" w:hAnsi="Times New Roman"/>
          <w:color w:val="000000"/>
        </w:rPr>
      </w:pPr>
    </w:p>
    <w:p w:rsidR="00A50638" w:rsidRPr="00A02572" w:rsidRDefault="00A50638" w:rsidP="00A02572">
      <w:pPr>
        <w:pStyle w:val="ListParagraph"/>
        <w:numPr>
          <w:ilvl w:val="0"/>
          <w:numId w:val="46"/>
        </w:numPr>
        <w:spacing w:after="0" w:line="260" w:lineRule="exact"/>
        <w:jc w:val="both"/>
        <w:rPr>
          <w:rFonts w:ascii="Times New Roman" w:hAnsi="Times New Roman"/>
          <w:color w:val="000000"/>
        </w:rPr>
      </w:pPr>
      <w:r w:rsidRPr="00A02572">
        <w:rPr>
          <w:rFonts w:ascii="Times New Roman" w:hAnsi="Times New Roman"/>
          <w:color w:val="000000"/>
        </w:rPr>
        <w:t>After three years of constantly inc</w:t>
      </w:r>
      <w:r w:rsidR="0061409B">
        <w:rPr>
          <w:rFonts w:ascii="Times New Roman" w:hAnsi="Times New Roman"/>
          <w:color w:val="000000"/>
        </w:rPr>
        <w:t xml:space="preserve">reasing net sales, multi-asset funds </w:t>
      </w:r>
      <w:r w:rsidRPr="00A02572">
        <w:rPr>
          <w:rFonts w:ascii="Times New Roman" w:hAnsi="Times New Roman"/>
          <w:color w:val="000000"/>
        </w:rPr>
        <w:t>suffered a sharp fall in net sales in 2016, as investors tried to limit their – direct and indirect – exposure to stock markets.</w:t>
      </w:r>
    </w:p>
    <w:p w:rsidR="00A02572" w:rsidRPr="00A02572" w:rsidRDefault="00A02572" w:rsidP="00A02572">
      <w:pPr>
        <w:pStyle w:val="ListParagraph"/>
        <w:spacing w:after="0" w:line="260" w:lineRule="exact"/>
        <w:ind w:left="1080"/>
        <w:jc w:val="both"/>
        <w:rPr>
          <w:rFonts w:ascii="Times New Roman" w:hAnsi="Times New Roman"/>
          <w:color w:val="000000"/>
        </w:rPr>
      </w:pPr>
    </w:p>
    <w:p w:rsidR="00A50638" w:rsidRPr="00A02572" w:rsidRDefault="00A50638" w:rsidP="00A02572">
      <w:pPr>
        <w:pStyle w:val="ListParagraph"/>
        <w:numPr>
          <w:ilvl w:val="0"/>
          <w:numId w:val="46"/>
        </w:numPr>
        <w:spacing w:after="0" w:line="260" w:lineRule="exact"/>
        <w:jc w:val="both"/>
        <w:rPr>
          <w:rFonts w:ascii="Times New Roman" w:hAnsi="Times New Roman"/>
          <w:color w:val="000000"/>
        </w:rPr>
      </w:pPr>
      <w:r w:rsidRPr="00A02572">
        <w:rPr>
          <w:rFonts w:ascii="Times New Roman" w:hAnsi="Times New Roman"/>
          <w:color w:val="000000"/>
        </w:rPr>
        <w:t xml:space="preserve">After a difficult first quarter, bond funds enjoyed a strong rise in net inflows on the back of falling long-term interest rates. </w:t>
      </w:r>
    </w:p>
    <w:p w:rsidR="00A02572" w:rsidRPr="00A02572" w:rsidRDefault="00A02572" w:rsidP="00A02572">
      <w:pPr>
        <w:pStyle w:val="ListParagraph"/>
        <w:spacing w:after="0" w:line="260" w:lineRule="exact"/>
        <w:ind w:left="1080"/>
        <w:jc w:val="both"/>
        <w:rPr>
          <w:rFonts w:ascii="Times New Roman" w:hAnsi="Times New Roman"/>
          <w:color w:val="000000"/>
        </w:rPr>
      </w:pPr>
    </w:p>
    <w:p w:rsidR="00A50638" w:rsidRDefault="00A50638" w:rsidP="00A02572">
      <w:pPr>
        <w:pStyle w:val="ListParagraph"/>
        <w:numPr>
          <w:ilvl w:val="0"/>
          <w:numId w:val="46"/>
        </w:numPr>
        <w:spacing w:after="0" w:line="260" w:lineRule="exact"/>
        <w:jc w:val="both"/>
        <w:rPr>
          <w:rFonts w:ascii="Times New Roman" w:hAnsi="Times New Roman"/>
          <w:color w:val="000000"/>
        </w:rPr>
      </w:pPr>
      <w:r w:rsidRPr="00A02572">
        <w:rPr>
          <w:rFonts w:ascii="Times New Roman" w:hAnsi="Times New Roman"/>
          <w:color w:val="000000"/>
        </w:rPr>
        <w:t xml:space="preserve">The higher uncertainty and renewed downside risks continued to increase the demand for money market funds in 2016, in spite of very low returns. </w:t>
      </w:r>
    </w:p>
    <w:p w:rsidR="00A02572" w:rsidRPr="00A02572" w:rsidRDefault="00A02572" w:rsidP="00A02572">
      <w:pPr>
        <w:pStyle w:val="ListParagraph"/>
        <w:spacing w:after="0" w:line="260" w:lineRule="exact"/>
        <w:ind w:left="1080"/>
        <w:jc w:val="both"/>
        <w:rPr>
          <w:rFonts w:ascii="Times New Roman" w:hAnsi="Times New Roman"/>
          <w:color w:val="000000"/>
        </w:rPr>
      </w:pPr>
    </w:p>
    <w:p w:rsidR="00A50638" w:rsidRPr="00A02572" w:rsidRDefault="00A50638" w:rsidP="00A02572">
      <w:pPr>
        <w:pStyle w:val="ListParagraph"/>
        <w:numPr>
          <w:ilvl w:val="0"/>
          <w:numId w:val="46"/>
        </w:numPr>
        <w:spacing w:after="0" w:line="260" w:lineRule="exact"/>
        <w:jc w:val="both"/>
        <w:rPr>
          <w:rFonts w:ascii="Times New Roman" w:hAnsi="Times New Roman"/>
          <w:color w:val="000000"/>
        </w:rPr>
      </w:pPr>
      <w:r w:rsidRPr="00A02572">
        <w:rPr>
          <w:rFonts w:ascii="Times New Roman" w:hAnsi="Times New Roman"/>
          <w:color w:val="000000"/>
        </w:rPr>
        <w:t>Cross-border UCITS domiciled in Ireland and Luxembourg attracted 69% of total UCITS net sales.</w:t>
      </w:r>
    </w:p>
    <w:p w:rsidR="00A50638" w:rsidRPr="00A02572" w:rsidRDefault="00A50638" w:rsidP="00A02572">
      <w:pPr>
        <w:autoSpaceDE/>
        <w:autoSpaceDN/>
        <w:spacing w:line="260" w:lineRule="exact"/>
        <w:contextualSpacing/>
        <w:jc w:val="both"/>
        <w:rPr>
          <w:rFonts w:eastAsia="Calibri"/>
          <w:sz w:val="22"/>
          <w:szCs w:val="22"/>
        </w:rPr>
      </w:pPr>
    </w:p>
    <w:p w:rsidR="00A50638" w:rsidRPr="00A02572" w:rsidRDefault="00A064C0" w:rsidP="00A02572">
      <w:pPr>
        <w:numPr>
          <w:ilvl w:val="0"/>
          <w:numId w:val="29"/>
        </w:numPr>
        <w:autoSpaceDE/>
        <w:autoSpaceDN/>
        <w:spacing w:line="260" w:lineRule="exact"/>
        <w:contextualSpacing/>
        <w:jc w:val="both"/>
        <w:rPr>
          <w:rFonts w:eastAsia="Calibri"/>
          <w:b/>
          <w:color w:val="000000"/>
          <w:sz w:val="22"/>
          <w:szCs w:val="22"/>
        </w:rPr>
      </w:pPr>
      <w:r>
        <w:rPr>
          <w:rFonts w:eastAsia="Calibri"/>
          <w:color w:val="0000FF"/>
          <w:sz w:val="22"/>
          <w:szCs w:val="22"/>
        </w:rPr>
        <w:t>Net sales of AIF reached EUR 184</w:t>
      </w:r>
      <w:r w:rsidR="00A50638" w:rsidRPr="00A02572">
        <w:rPr>
          <w:rFonts w:eastAsia="Calibri"/>
          <w:color w:val="0000FF"/>
          <w:sz w:val="22"/>
          <w:szCs w:val="22"/>
        </w:rPr>
        <w:t xml:space="preserve"> billion, compared to 148 billion in 2015.</w:t>
      </w:r>
    </w:p>
    <w:p w:rsidR="00A50638" w:rsidRPr="00A02572" w:rsidRDefault="00A50638" w:rsidP="00A02572">
      <w:pPr>
        <w:pStyle w:val="Footer"/>
        <w:spacing w:line="260" w:lineRule="exact"/>
        <w:jc w:val="both"/>
        <w:outlineLvl w:val="0"/>
        <w:rPr>
          <w:b/>
          <w:bCs/>
          <w:color w:val="000000"/>
          <w:sz w:val="22"/>
          <w:szCs w:val="22"/>
          <w:u w:val="single"/>
          <w:lang w:val="en-US"/>
        </w:rPr>
      </w:pPr>
    </w:p>
    <w:p w:rsidR="00A50638" w:rsidRDefault="00A50638" w:rsidP="00A02572">
      <w:pPr>
        <w:pStyle w:val="ListParagraph"/>
        <w:numPr>
          <w:ilvl w:val="0"/>
          <w:numId w:val="47"/>
        </w:numPr>
        <w:spacing w:after="0" w:line="260" w:lineRule="exact"/>
        <w:jc w:val="both"/>
        <w:rPr>
          <w:rFonts w:ascii="Times New Roman" w:hAnsi="Times New Roman"/>
          <w:color w:val="000000"/>
        </w:rPr>
      </w:pPr>
      <w:r w:rsidRPr="00A02572">
        <w:rPr>
          <w:rFonts w:ascii="Times New Roman" w:hAnsi="Times New Roman"/>
          <w:color w:val="000000"/>
        </w:rPr>
        <w:t>AIF surpassed net sales of long-term UCITS (EUR</w:t>
      </w:r>
      <w:r w:rsidR="005E6B7B">
        <w:rPr>
          <w:rFonts w:ascii="Times New Roman" w:hAnsi="Times New Roman"/>
          <w:color w:val="000000"/>
        </w:rPr>
        <w:t xml:space="preserve"> 183</w:t>
      </w:r>
      <w:r w:rsidRPr="00A02572">
        <w:rPr>
          <w:rFonts w:ascii="Times New Roman" w:hAnsi="Times New Roman"/>
          <w:color w:val="000000"/>
        </w:rPr>
        <w:t xml:space="preserve"> billion, compared to EUR 169 billion).</w:t>
      </w:r>
    </w:p>
    <w:p w:rsidR="00A02572" w:rsidRPr="00A02572" w:rsidRDefault="00A02572" w:rsidP="00A02572">
      <w:pPr>
        <w:pStyle w:val="ListParagraph"/>
        <w:spacing w:after="0" w:line="260" w:lineRule="exact"/>
        <w:ind w:left="1080"/>
        <w:jc w:val="both"/>
        <w:rPr>
          <w:rFonts w:ascii="Times New Roman" w:hAnsi="Times New Roman"/>
          <w:color w:val="000000"/>
        </w:rPr>
      </w:pPr>
    </w:p>
    <w:p w:rsidR="00A50638" w:rsidRDefault="00A50638" w:rsidP="00A02572">
      <w:pPr>
        <w:pStyle w:val="ListParagraph"/>
        <w:numPr>
          <w:ilvl w:val="0"/>
          <w:numId w:val="47"/>
        </w:numPr>
        <w:spacing w:after="0" w:line="260" w:lineRule="exact"/>
        <w:jc w:val="both"/>
        <w:rPr>
          <w:rFonts w:ascii="Times New Roman" w:hAnsi="Times New Roman"/>
          <w:color w:val="000000"/>
        </w:rPr>
      </w:pPr>
      <w:r w:rsidRPr="00A02572">
        <w:rPr>
          <w:rFonts w:ascii="Times New Roman" w:hAnsi="Times New Roman"/>
          <w:color w:val="000000"/>
        </w:rPr>
        <w:t>Multi-asset funds were the clear winners among the mainstream asset classes, followed by real estate funds, bond funds and equity funds.</w:t>
      </w:r>
    </w:p>
    <w:p w:rsidR="00A02572" w:rsidRDefault="00A02572" w:rsidP="00A02572">
      <w:pPr>
        <w:pStyle w:val="ListParagraph"/>
        <w:spacing w:after="0" w:line="260" w:lineRule="exact"/>
        <w:ind w:left="1080"/>
        <w:jc w:val="both"/>
        <w:rPr>
          <w:rFonts w:ascii="Times New Roman" w:hAnsi="Times New Roman"/>
          <w:color w:val="000000"/>
        </w:rPr>
      </w:pPr>
    </w:p>
    <w:p w:rsidR="00A50638" w:rsidRDefault="00A50638" w:rsidP="00A02572">
      <w:pPr>
        <w:pStyle w:val="ListParagraph"/>
        <w:numPr>
          <w:ilvl w:val="0"/>
          <w:numId w:val="47"/>
        </w:numPr>
        <w:spacing w:after="0" w:line="260" w:lineRule="exact"/>
        <w:jc w:val="both"/>
        <w:rPr>
          <w:rFonts w:ascii="Times New Roman" w:hAnsi="Times New Roman"/>
          <w:color w:val="000000"/>
        </w:rPr>
      </w:pPr>
      <w:r w:rsidRPr="00A02572">
        <w:rPr>
          <w:rFonts w:ascii="Times New Roman" w:hAnsi="Times New Roman"/>
          <w:color w:val="000000"/>
        </w:rPr>
        <w:t xml:space="preserve">The move into “other” AIFs continued in 2016, as investors diversified more widely and focused more on investment outcomes.  </w:t>
      </w:r>
    </w:p>
    <w:p w:rsidR="00A02572" w:rsidRPr="00A02572" w:rsidRDefault="00A02572" w:rsidP="00A02572">
      <w:pPr>
        <w:pStyle w:val="ListParagraph"/>
        <w:spacing w:after="0" w:line="260" w:lineRule="exact"/>
        <w:ind w:left="1080"/>
        <w:jc w:val="both"/>
        <w:rPr>
          <w:rFonts w:ascii="Times New Roman" w:hAnsi="Times New Roman"/>
          <w:color w:val="000000"/>
        </w:rPr>
      </w:pPr>
    </w:p>
    <w:p w:rsidR="00A50638" w:rsidRPr="00A02572" w:rsidRDefault="00A50638" w:rsidP="00A02572">
      <w:pPr>
        <w:pStyle w:val="ListParagraph"/>
        <w:numPr>
          <w:ilvl w:val="0"/>
          <w:numId w:val="47"/>
        </w:numPr>
        <w:spacing w:after="0" w:line="260" w:lineRule="exact"/>
        <w:jc w:val="both"/>
        <w:rPr>
          <w:rFonts w:ascii="Times New Roman" w:hAnsi="Times New Roman"/>
          <w:color w:val="000000"/>
        </w:rPr>
      </w:pPr>
      <w:r w:rsidRPr="00A02572">
        <w:rPr>
          <w:rFonts w:ascii="Times New Roman" w:hAnsi="Times New Roman"/>
          <w:color w:val="000000"/>
        </w:rPr>
        <w:t>AIFs domicile</w:t>
      </w:r>
      <w:r w:rsidR="00331925">
        <w:rPr>
          <w:rFonts w:ascii="Times New Roman" w:hAnsi="Times New Roman"/>
          <w:color w:val="000000"/>
        </w:rPr>
        <w:t>d</w:t>
      </w:r>
      <w:r w:rsidRPr="00A02572">
        <w:rPr>
          <w:rFonts w:ascii="Times New Roman" w:hAnsi="Times New Roman"/>
          <w:color w:val="000000"/>
        </w:rPr>
        <w:t xml:space="preserve"> in Germany captured 53% of the total net sales of AIFs.</w:t>
      </w:r>
    </w:p>
    <w:p w:rsidR="00A02572" w:rsidRPr="00A02572" w:rsidRDefault="005E6B7B" w:rsidP="00A02572">
      <w:pPr>
        <w:pStyle w:val="ListParagraph"/>
        <w:spacing w:line="260" w:lineRule="exact"/>
        <w:ind w:left="1080"/>
        <w:jc w:val="both"/>
        <w:rPr>
          <w:rFonts w:asciiTheme="minorHAnsi" w:hAnsiTheme="minorHAnsi"/>
          <w:color w:val="000000"/>
        </w:rPr>
      </w:pPr>
      <w:r w:rsidRPr="005E6B7B">
        <w:rPr>
          <w:noProof/>
        </w:rPr>
        <w:drawing>
          <wp:anchor distT="0" distB="0" distL="114300" distR="114300" simplePos="0" relativeHeight="251817984" behindDoc="0" locked="0" layoutInCell="1" allowOverlap="1">
            <wp:simplePos x="0" y="0"/>
            <wp:positionH relativeFrom="column">
              <wp:posOffset>704215</wp:posOffset>
            </wp:positionH>
            <wp:positionV relativeFrom="paragraph">
              <wp:posOffset>169545</wp:posOffset>
            </wp:positionV>
            <wp:extent cx="5029200" cy="28800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599A" w:rsidRDefault="00F3599A" w:rsidP="00F3599A">
      <w:pPr>
        <w:rPr>
          <w:color w:val="000000"/>
        </w:rPr>
      </w:pPr>
    </w:p>
    <w:p w:rsidR="00F3599A" w:rsidRDefault="00F3599A" w:rsidP="004A3139">
      <w:pPr>
        <w:pStyle w:val="ListParagraph"/>
        <w:spacing w:after="0" w:line="240" w:lineRule="auto"/>
        <w:rPr>
          <w:color w:val="000000"/>
        </w:rPr>
      </w:pPr>
    </w:p>
    <w:p w:rsidR="00CB1BC3" w:rsidRPr="004A3139" w:rsidRDefault="00CB1BC3" w:rsidP="004A3139">
      <w:pPr>
        <w:pStyle w:val="ListParagraph"/>
        <w:spacing w:after="0" w:line="240" w:lineRule="auto"/>
        <w:rPr>
          <w:b/>
          <w:bCs/>
          <w:color w:val="1F497D"/>
        </w:rPr>
      </w:pPr>
      <w:r w:rsidRPr="004A3139">
        <w:rPr>
          <w:color w:val="000000"/>
        </w:rPr>
        <w:t> </w:t>
      </w:r>
    </w:p>
    <w:p w:rsidR="001F6F91" w:rsidRPr="008C2583" w:rsidRDefault="001F6F91" w:rsidP="001F6F91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49EE" w:rsidRDefault="00F349EE" w:rsidP="001F6F91">
      <w:pPr>
        <w:pStyle w:val="Footer"/>
        <w:jc w:val="center"/>
        <w:outlineLvl w:val="0"/>
        <w:rPr>
          <w:b/>
          <w:bCs/>
          <w:noProof/>
          <w:sz w:val="28"/>
          <w:szCs w:val="28"/>
          <w:lang w:val="en-US"/>
        </w:rPr>
      </w:pPr>
    </w:p>
    <w:p w:rsidR="00F349EE" w:rsidRDefault="00F349EE" w:rsidP="001F6F91">
      <w:pPr>
        <w:pStyle w:val="Footer"/>
        <w:jc w:val="center"/>
        <w:outlineLvl w:val="0"/>
        <w:rPr>
          <w:b/>
          <w:bCs/>
          <w:noProof/>
          <w:sz w:val="28"/>
          <w:szCs w:val="28"/>
          <w:lang w:val="en-US"/>
        </w:rPr>
      </w:pPr>
    </w:p>
    <w:p w:rsidR="00F349EE" w:rsidRDefault="00F349EE" w:rsidP="001F6F91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49EE" w:rsidRDefault="00F349EE" w:rsidP="001F6F91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49EE" w:rsidRDefault="00F349EE" w:rsidP="001F6F91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49EE" w:rsidRDefault="00F349EE" w:rsidP="001F6F91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49EE" w:rsidRDefault="00F349EE" w:rsidP="001F6F91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49EE" w:rsidRDefault="00F349EE" w:rsidP="001F6F91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49EE" w:rsidRDefault="00F349EE" w:rsidP="001F6F91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49EE" w:rsidRDefault="00F349EE" w:rsidP="001F6F91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49EE" w:rsidRDefault="00331925" w:rsidP="001F6F91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815936" behindDoc="0" locked="0" layoutInCell="1" allowOverlap="1" wp14:anchorId="1D09F64E" wp14:editId="223AC749">
            <wp:simplePos x="0" y="0"/>
            <wp:positionH relativeFrom="margin">
              <wp:align>center</wp:align>
            </wp:positionH>
            <wp:positionV relativeFrom="page">
              <wp:posOffset>880745</wp:posOffset>
            </wp:positionV>
            <wp:extent cx="6076315" cy="3959860"/>
            <wp:effectExtent l="0" t="0" r="635" b="254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315" cy="3959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49EE" w:rsidRDefault="00F349EE" w:rsidP="001F6F91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49EE" w:rsidRDefault="00F349EE" w:rsidP="001F6F91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F349EE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Default="001F6F91" w:rsidP="001F6F91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02572" w:rsidRPr="008C2583" w:rsidRDefault="00A02572" w:rsidP="001F6F91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331925" w:rsidP="001F6F91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Cs/>
          <w:noProof/>
          <w:lang w:val="en-US"/>
        </w:rPr>
        <w:drawing>
          <wp:anchor distT="0" distB="0" distL="114300" distR="114300" simplePos="0" relativeHeight="251751424" behindDoc="0" locked="0" layoutInCell="1" allowOverlap="1" wp14:anchorId="531E83DA">
            <wp:simplePos x="0" y="0"/>
            <wp:positionH relativeFrom="margin">
              <wp:align>center</wp:align>
            </wp:positionH>
            <wp:positionV relativeFrom="paragraph">
              <wp:posOffset>68580</wp:posOffset>
            </wp:positionV>
            <wp:extent cx="6076950" cy="3961130"/>
            <wp:effectExtent l="0" t="0" r="0" b="127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3961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6F91" w:rsidRDefault="001F6F91" w:rsidP="001F6F91">
      <w:pPr>
        <w:pStyle w:val="Footer"/>
        <w:outlineLvl w:val="0"/>
        <w:rPr>
          <w:bCs/>
          <w:lang w:val="en-US"/>
        </w:rPr>
      </w:pPr>
    </w:p>
    <w:p w:rsidR="001F6F91" w:rsidRDefault="001F6F91" w:rsidP="001F6F91">
      <w:pPr>
        <w:pStyle w:val="Footer"/>
        <w:outlineLvl w:val="0"/>
        <w:rPr>
          <w:bCs/>
          <w:lang w:val="en-US"/>
        </w:rPr>
      </w:pPr>
    </w:p>
    <w:p w:rsidR="001F6F91" w:rsidRPr="006847BB" w:rsidRDefault="001F6F91" w:rsidP="001F6F91">
      <w:pPr>
        <w:pStyle w:val="Footer"/>
        <w:outlineLvl w:val="0"/>
        <w:rPr>
          <w:bCs/>
          <w:lang w:val="en-US"/>
        </w:rPr>
      </w:pPr>
    </w:p>
    <w:p w:rsidR="001F6F91" w:rsidRPr="008C2583" w:rsidRDefault="001F6F91" w:rsidP="001F6F91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Default="001F6F91" w:rsidP="001F6F91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70AA0" w:rsidRDefault="003F7560" w:rsidP="001F6F91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91F062F" wp14:editId="263CF924">
                <wp:simplePos x="0" y="0"/>
                <wp:positionH relativeFrom="column">
                  <wp:posOffset>80010</wp:posOffset>
                </wp:positionH>
                <wp:positionV relativeFrom="paragraph">
                  <wp:posOffset>57489</wp:posOffset>
                </wp:positionV>
                <wp:extent cx="6073140" cy="241539"/>
                <wp:effectExtent l="0" t="0" r="0" b="63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3140" cy="2415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E51E9" w:rsidRPr="00FD755F" w:rsidRDefault="00EE51E9" w:rsidP="00EE51E9">
                            <w:pPr>
                              <w:pStyle w:val="Footer"/>
                              <w:jc w:val="both"/>
                              <w:outlineLvl w:val="0"/>
                              <w:rPr>
                                <w:bCs/>
                                <w:sz w:val="16"/>
                              </w:rPr>
                            </w:pPr>
                            <w:r w:rsidRPr="008B5451">
                              <w:rPr>
                                <w:bCs/>
                                <w:sz w:val="16"/>
                                <w:lang w:val="en-US"/>
                              </w:rPr>
                              <w:t xml:space="preserve">(1) </w:t>
                            </w:r>
                            <w:r>
                              <w:rPr>
                                <w:bCs/>
                                <w:sz w:val="16"/>
                                <w:lang w:val="en-US"/>
                              </w:rPr>
                              <w:t xml:space="preserve">Source: EFAMA database, annual </w:t>
                            </w:r>
                            <w:r w:rsidR="00331925">
                              <w:rPr>
                                <w:bCs/>
                                <w:sz w:val="16"/>
                                <w:lang w:val="en-US"/>
                              </w:rPr>
                              <w:t>data</w:t>
                            </w:r>
                            <w:r>
                              <w:rPr>
                                <w:bCs/>
                                <w:sz w:val="16"/>
                                <w:lang w:val="en-US"/>
                              </w:rPr>
                              <w:t>. Data for 2016 excludes data on Belgian net sales due to unavailability.</w:t>
                            </w:r>
                          </w:p>
                          <w:p w:rsidR="008B5451" w:rsidRPr="008B5451" w:rsidRDefault="008B5451" w:rsidP="008B5451">
                            <w:pPr>
                              <w:pStyle w:val="Footer"/>
                              <w:jc w:val="both"/>
                              <w:outlineLvl w:val="0"/>
                              <w:rPr>
                                <w:bCs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1F062F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6.3pt;margin-top:4.55pt;width:478.2pt;height:19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" filled="f" stroked="f" strokeweight=".5pt">
                <v:textbox>
                  <w:txbxContent>
                    <w:p w:rsidR="00EE51E9" w:rsidRPr="00FD755F" w:rsidRDefault="00EE51E9" w:rsidP="00EE51E9">
                      <w:pPr>
                        <w:pStyle w:val="Footer"/>
                        <w:jc w:val="both"/>
                        <w:outlineLvl w:val="0"/>
                        <w:rPr>
                          <w:bCs/>
                          <w:sz w:val="16"/>
                        </w:rPr>
                      </w:pPr>
                      <w:r w:rsidRPr="008B5451">
                        <w:rPr>
                          <w:bCs/>
                          <w:sz w:val="16"/>
                          <w:lang w:val="en-US"/>
                        </w:rPr>
                        <w:t xml:space="preserve">(1) </w:t>
                      </w:r>
                      <w:r>
                        <w:rPr>
                          <w:bCs/>
                          <w:sz w:val="16"/>
                          <w:lang w:val="en-US"/>
                        </w:rPr>
                        <w:t xml:space="preserve">Source: EFAMA database, annual </w:t>
                      </w:r>
                      <w:r w:rsidR="00331925">
                        <w:rPr>
                          <w:bCs/>
                          <w:sz w:val="16"/>
                          <w:lang w:val="en-US"/>
                        </w:rPr>
                        <w:t>data</w:t>
                      </w:r>
                      <w:r>
                        <w:rPr>
                          <w:bCs/>
                          <w:sz w:val="16"/>
                          <w:lang w:val="en-US"/>
                        </w:rPr>
                        <w:t>. Data for 2016 excludes data on Belgian net sales due to unavailability.</w:t>
                      </w:r>
                    </w:p>
                    <w:p w:rsidR="008B5451" w:rsidRPr="008B5451" w:rsidRDefault="008B5451" w:rsidP="008B5451">
                      <w:pPr>
                        <w:pStyle w:val="Footer"/>
                        <w:jc w:val="both"/>
                        <w:outlineLvl w:val="0"/>
                        <w:rPr>
                          <w:bCs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31925" w:rsidRDefault="00331925" w:rsidP="001F6F91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331925" w:rsidP="001F6F91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755520" behindDoc="0" locked="0" layoutInCell="1" allowOverlap="1" wp14:anchorId="75FF383C">
            <wp:simplePos x="0" y="0"/>
            <wp:positionH relativeFrom="margin">
              <wp:align>center</wp:align>
            </wp:positionH>
            <wp:positionV relativeFrom="paragraph">
              <wp:posOffset>168275</wp:posOffset>
            </wp:positionV>
            <wp:extent cx="6076315" cy="3700780"/>
            <wp:effectExtent l="0" t="0" r="63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315" cy="3700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6F91" w:rsidRPr="008C2583" w:rsidRDefault="001F6F91" w:rsidP="001F6F91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6847BB" w:rsidRDefault="001F6F91" w:rsidP="001F6F91">
      <w:pPr>
        <w:pStyle w:val="Footer"/>
        <w:outlineLvl w:val="0"/>
        <w:rPr>
          <w:bCs/>
          <w:lang w:val="en-US"/>
        </w:rPr>
      </w:pPr>
    </w:p>
    <w:p w:rsidR="001F6F91" w:rsidRDefault="001F6F91" w:rsidP="001F6F91">
      <w:pPr>
        <w:pStyle w:val="Footer"/>
        <w:outlineLvl w:val="0"/>
        <w:rPr>
          <w:bCs/>
          <w:lang w:val="en-US"/>
        </w:rPr>
      </w:pPr>
    </w:p>
    <w:p w:rsidR="001F6F91" w:rsidRDefault="001F6F91" w:rsidP="001F6F91">
      <w:pPr>
        <w:pStyle w:val="Footer"/>
        <w:outlineLvl w:val="0"/>
        <w:rPr>
          <w:bCs/>
          <w:lang w:val="en-US"/>
        </w:rPr>
      </w:pPr>
    </w:p>
    <w:p w:rsidR="001F6F91" w:rsidRDefault="00331925" w:rsidP="001F6F91">
      <w:pPr>
        <w:pStyle w:val="Footer"/>
        <w:outlineLvl w:val="0"/>
        <w:rPr>
          <w:bCs/>
          <w:lang w:val="en-US"/>
        </w:rPr>
      </w:pPr>
      <w:r>
        <w:rPr>
          <w:bCs/>
          <w:noProof/>
          <w:lang w:val="en-US"/>
        </w:rPr>
        <w:drawing>
          <wp:anchor distT="0" distB="0" distL="114300" distR="114300" simplePos="0" relativeHeight="251756544" behindDoc="0" locked="0" layoutInCell="1" allowOverlap="1" wp14:anchorId="7920114D">
            <wp:simplePos x="0" y="0"/>
            <wp:positionH relativeFrom="margin">
              <wp:posOffset>96520</wp:posOffset>
            </wp:positionH>
            <wp:positionV relativeFrom="page">
              <wp:posOffset>5111115</wp:posOffset>
            </wp:positionV>
            <wp:extent cx="6073140" cy="3959860"/>
            <wp:effectExtent l="0" t="0" r="3810" b="254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140" cy="3959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6F91" w:rsidRDefault="001F6F91" w:rsidP="001F6F91">
      <w:pPr>
        <w:pStyle w:val="Footer"/>
        <w:outlineLvl w:val="0"/>
        <w:rPr>
          <w:bCs/>
          <w:lang w:val="en-US"/>
        </w:rPr>
      </w:pPr>
    </w:p>
    <w:p w:rsidR="001F6F91" w:rsidRDefault="001F6F91" w:rsidP="001F6F91">
      <w:pPr>
        <w:pStyle w:val="Footer"/>
        <w:outlineLvl w:val="0"/>
        <w:rPr>
          <w:bCs/>
          <w:lang w:val="en-US"/>
        </w:rPr>
      </w:pPr>
      <w:r>
        <w:rPr>
          <w:bCs/>
          <w:lang w:val="en-US"/>
        </w:rPr>
        <w:t xml:space="preserve"> </w:t>
      </w:r>
    </w:p>
    <w:p w:rsidR="001F6F91" w:rsidRDefault="001F6F91" w:rsidP="001F6F91">
      <w:pPr>
        <w:pStyle w:val="Footer"/>
        <w:outlineLvl w:val="0"/>
        <w:rPr>
          <w:bCs/>
          <w:lang w:val="en-US"/>
        </w:rPr>
      </w:pPr>
    </w:p>
    <w:p w:rsidR="001F6F91" w:rsidRDefault="001F6F91" w:rsidP="001F6F91">
      <w:pPr>
        <w:pStyle w:val="Footer"/>
        <w:outlineLvl w:val="0"/>
        <w:rPr>
          <w:bCs/>
          <w:lang w:val="en-US"/>
        </w:rPr>
      </w:pPr>
    </w:p>
    <w:p w:rsidR="001F6F91" w:rsidRDefault="001F6F91" w:rsidP="001F6F91">
      <w:pPr>
        <w:pStyle w:val="Footer"/>
        <w:outlineLvl w:val="0"/>
        <w:rPr>
          <w:bCs/>
          <w:lang w:val="en-US"/>
        </w:rPr>
      </w:pPr>
    </w:p>
    <w:p w:rsidR="001F6F91" w:rsidRDefault="001F6F91" w:rsidP="001F6F91">
      <w:pPr>
        <w:pStyle w:val="Footer"/>
        <w:outlineLvl w:val="0"/>
        <w:rPr>
          <w:bCs/>
          <w:lang w:val="en-US"/>
        </w:rPr>
      </w:pPr>
    </w:p>
    <w:p w:rsidR="001F6F91" w:rsidRDefault="001F6F91" w:rsidP="001F6F91">
      <w:pPr>
        <w:pStyle w:val="Footer"/>
        <w:outlineLvl w:val="0"/>
        <w:rPr>
          <w:bCs/>
          <w:lang w:val="en-US"/>
        </w:rPr>
      </w:pPr>
    </w:p>
    <w:p w:rsidR="001F6F91" w:rsidRDefault="001F6F91" w:rsidP="001F6F91">
      <w:pPr>
        <w:pStyle w:val="Footer"/>
        <w:outlineLvl w:val="0"/>
        <w:rPr>
          <w:bCs/>
          <w:lang w:val="en-US"/>
        </w:rPr>
      </w:pPr>
    </w:p>
    <w:p w:rsidR="001F6F91" w:rsidRDefault="001F6F91" w:rsidP="001F6F91">
      <w:pPr>
        <w:pStyle w:val="Footer"/>
        <w:outlineLvl w:val="0"/>
        <w:rPr>
          <w:bCs/>
          <w:lang w:val="en-US"/>
        </w:rPr>
      </w:pPr>
    </w:p>
    <w:p w:rsidR="001F6F91" w:rsidRDefault="001F6F91" w:rsidP="001F6F91">
      <w:pPr>
        <w:pStyle w:val="Footer"/>
        <w:outlineLvl w:val="0"/>
        <w:rPr>
          <w:bCs/>
          <w:lang w:val="en-US"/>
        </w:rPr>
      </w:pPr>
    </w:p>
    <w:p w:rsidR="001F6F91" w:rsidRDefault="001F6F91" w:rsidP="001F6F91">
      <w:pPr>
        <w:pStyle w:val="Footer"/>
        <w:outlineLvl w:val="0"/>
        <w:rPr>
          <w:bCs/>
          <w:lang w:val="en-US"/>
        </w:rPr>
      </w:pPr>
    </w:p>
    <w:p w:rsidR="001F6F91" w:rsidRDefault="001F6F91" w:rsidP="001F6F91">
      <w:pPr>
        <w:pStyle w:val="Footer"/>
        <w:outlineLvl w:val="0"/>
        <w:rPr>
          <w:bCs/>
          <w:lang w:val="en-US"/>
        </w:rPr>
      </w:pPr>
    </w:p>
    <w:p w:rsidR="001F6F91" w:rsidRDefault="001F6F91" w:rsidP="001F6F91">
      <w:pPr>
        <w:pStyle w:val="Footer"/>
        <w:outlineLvl w:val="0"/>
        <w:rPr>
          <w:bCs/>
          <w:lang w:val="en-US"/>
        </w:rPr>
      </w:pPr>
    </w:p>
    <w:p w:rsidR="001F6F91" w:rsidRDefault="001F6F91" w:rsidP="001F6F91">
      <w:pPr>
        <w:pStyle w:val="Footer"/>
        <w:outlineLvl w:val="0"/>
        <w:rPr>
          <w:bCs/>
          <w:lang w:val="en-US"/>
        </w:rPr>
      </w:pPr>
    </w:p>
    <w:p w:rsidR="001F6F91" w:rsidRDefault="001F6F91" w:rsidP="001F6F91">
      <w:pPr>
        <w:pStyle w:val="Footer"/>
        <w:outlineLvl w:val="0"/>
        <w:rPr>
          <w:bCs/>
          <w:lang w:val="en-US"/>
        </w:rPr>
      </w:pPr>
    </w:p>
    <w:p w:rsidR="001F6F91" w:rsidRDefault="001F6F91" w:rsidP="001F6F91">
      <w:pPr>
        <w:pStyle w:val="Footer"/>
        <w:outlineLvl w:val="0"/>
        <w:rPr>
          <w:bCs/>
          <w:lang w:val="en-US"/>
        </w:rPr>
      </w:pPr>
    </w:p>
    <w:p w:rsidR="001F6F91" w:rsidRDefault="001F6F91" w:rsidP="001F6F91">
      <w:pPr>
        <w:pStyle w:val="Footer"/>
        <w:outlineLvl w:val="0"/>
        <w:rPr>
          <w:bCs/>
          <w:lang w:val="en-US"/>
        </w:rPr>
      </w:pPr>
    </w:p>
    <w:p w:rsidR="001F6F91" w:rsidRDefault="001F6F91" w:rsidP="001F6F91">
      <w:pPr>
        <w:pStyle w:val="Footer"/>
        <w:outlineLvl w:val="0"/>
        <w:rPr>
          <w:bCs/>
          <w:lang w:val="en-US"/>
        </w:rPr>
      </w:pPr>
    </w:p>
    <w:p w:rsidR="001F6F91" w:rsidRDefault="001F6F91" w:rsidP="001F6F91">
      <w:pPr>
        <w:pStyle w:val="Footer"/>
        <w:outlineLvl w:val="0"/>
        <w:rPr>
          <w:bCs/>
          <w:lang w:val="en-US"/>
        </w:rPr>
      </w:pPr>
    </w:p>
    <w:p w:rsidR="001F6F91" w:rsidRDefault="001F6F91" w:rsidP="001F6F91">
      <w:pPr>
        <w:pStyle w:val="Footer"/>
        <w:outlineLvl w:val="0"/>
        <w:rPr>
          <w:bCs/>
          <w:lang w:val="en-US"/>
        </w:rPr>
      </w:pPr>
    </w:p>
    <w:p w:rsidR="001F6F91" w:rsidRDefault="001F6F91" w:rsidP="001F6F91">
      <w:pPr>
        <w:pStyle w:val="Footer"/>
        <w:outlineLvl w:val="0"/>
        <w:rPr>
          <w:bCs/>
          <w:lang w:val="en-US"/>
        </w:rPr>
      </w:pPr>
    </w:p>
    <w:p w:rsidR="001F6F91" w:rsidRDefault="001F6F91" w:rsidP="001F6F91">
      <w:pPr>
        <w:pStyle w:val="Footer"/>
        <w:outlineLvl w:val="0"/>
        <w:rPr>
          <w:bCs/>
          <w:lang w:val="en-US"/>
        </w:rPr>
      </w:pPr>
    </w:p>
    <w:p w:rsidR="001F6F91" w:rsidRDefault="001F6F91" w:rsidP="001F6F91">
      <w:pPr>
        <w:pStyle w:val="Footer"/>
        <w:outlineLvl w:val="0"/>
        <w:rPr>
          <w:bCs/>
          <w:lang w:val="en-US"/>
        </w:rPr>
      </w:pPr>
    </w:p>
    <w:p w:rsidR="001F6F91" w:rsidRDefault="001F6F91" w:rsidP="001F6F91">
      <w:pPr>
        <w:pStyle w:val="Footer"/>
        <w:outlineLvl w:val="0"/>
        <w:rPr>
          <w:bCs/>
          <w:lang w:val="en-US"/>
        </w:rPr>
      </w:pPr>
    </w:p>
    <w:p w:rsidR="00C83041" w:rsidRDefault="00C83041" w:rsidP="00451832">
      <w:pPr>
        <w:pStyle w:val="Footer"/>
        <w:outlineLvl w:val="0"/>
        <w:rPr>
          <w:bCs/>
          <w:lang w:val="en-US"/>
        </w:rPr>
      </w:pPr>
    </w:p>
    <w:p w:rsidR="00C83041" w:rsidRDefault="00C83041" w:rsidP="00451832">
      <w:pPr>
        <w:pStyle w:val="Footer"/>
        <w:outlineLvl w:val="0"/>
        <w:rPr>
          <w:bCs/>
          <w:lang w:val="en-US"/>
        </w:rPr>
      </w:pPr>
    </w:p>
    <w:p w:rsidR="00C83041" w:rsidRDefault="00C83041" w:rsidP="00451832">
      <w:pPr>
        <w:pStyle w:val="Footer"/>
        <w:outlineLvl w:val="0"/>
        <w:rPr>
          <w:bCs/>
          <w:lang w:val="en-US"/>
        </w:rPr>
      </w:pPr>
    </w:p>
    <w:p w:rsidR="00D849C4" w:rsidRPr="008C2583" w:rsidRDefault="008B5451" w:rsidP="00D849C4">
      <w:pPr>
        <w:autoSpaceDE/>
        <w:autoSpaceDN/>
        <w:jc w:val="center"/>
        <w:rPr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ACBA4B9" wp14:editId="417B0EB2">
                <wp:simplePos x="0" y="0"/>
                <wp:positionH relativeFrom="column">
                  <wp:posOffset>94615</wp:posOffset>
                </wp:positionH>
                <wp:positionV relativeFrom="paragraph">
                  <wp:posOffset>193143</wp:posOffset>
                </wp:positionV>
                <wp:extent cx="5977890" cy="55245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789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B5451" w:rsidRPr="00FD755F" w:rsidRDefault="008B5451" w:rsidP="008B5451">
                            <w:pPr>
                              <w:pStyle w:val="Footer"/>
                              <w:jc w:val="both"/>
                              <w:outlineLvl w:val="0"/>
                              <w:rPr>
                                <w:bCs/>
                                <w:sz w:val="16"/>
                              </w:rPr>
                            </w:pPr>
                            <w:r w:rsidRPr="008B5451">
                              <w:rPr>
                                <w:bCs/>
                                <w:sz w:val="16"/>
                                <w:lang w:val="en-US"/>
                              </w:rPr>
                              <w:t xml:space="preserve">(1) </w:t>
                            </w:r>
                            <w:r w:rsidR="00070AA0">
                              <w:rPr>
                                <w:bCs/>
                                <w:sz w:val="16"/>
                                <w:lang w:val="en-US"/>
                              </w:rPr>
                              <w:t>Source: EFAMA database, annual</w:t>
                            </w:r>
                            <w:r w:rsidR="00331925">
                              <w:rPr>
                                <w:bCs/>
                                <w:sz w:val="16"/>
                                <w:lang w:val="en-US"/>
                              </w:rPr>
                              <w:t xml:space="preserve"> data</w:t>
                            </w:r>
                            <w:r w:rsidR="00070AA0">
                              <w:rPr>
                                <w:bCs/>
                                <w:sz w:val="16"/>
                                <w:lang w:val="en-US"/>
                              </w:rPr>
                              <w:t>. Data for 2016 excludes data on Belgian net sales due to unavailability.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BA4B9" id="Text Box 15" o:spid="_x0000_s1027" type="#_x0000_t202" style="position:absolute;left:0;text-align:left;margin-left:7.45pt;margin-top:15.2pt;width:470.7pt;height:43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" filled="f" stroked="f" strokeweight=".5pt">
                <v:textbox>
                  <w:txbxContent>
                    <w:p w:rsidR="008B5451" w:rsidRPr="00FD755F" w:rsidRDefault="008B5451" w:rsidP="008B5451">
                      <w:pPr>
                        <w:pStyle w:val="Footer"/>
                        <w:jc w:val="both"/>
                        <w:outlineLvl w:val="0"/>
                        <w:rPr>
                          <w:bCs/>
                          <w:sz w:val="16"/>
                        </w:rPr>
                      </w:pPr>
                      <w:r w:rsidRPr="008B5451">
                        <w:rPr>
                          <w:bCs/>
                          <w:sz w:val="16"/>
                          <w:lang w:val="en-US"/>
                        </w:rPr>
                        <w:t xml:space="preserve">(1) </w:t>
                      </w:r>
                      <w:r w:rsidR="00070AA0">
                        <w:rPr>
                          <w:bCs/>
                          <w:sz w:val="16"/>
                          <w:lang w:val="en-US"/>
                        </w:rPr>
                        <w:t>Source: EFAMA database, annual</w:t>
                      </w:r>
                      <w:r w:rsidR="00331925">
                        <w:rPr>
                          <w:bCs/>
                          <w:sz w:val="16"/>
                          <w:lang w:val="en-US"/>
                        </w:rPr>
                        <w:t xml:space="preserve"> data</w:t>
                      </w:r>
                      <w:r w:rsidR="00070AA0">
                        <w:rPr>
                          <w:bCs/>
                          <w:sz w:val="16"/>
                          <w:lang w:val="en-US"/>
                        </w:rPr>
                        <w:t>. Data for 2016 excludes data on Belgian net sales due to unavailability.</w:t>
                      </w:r>
                    </w:p>
                  </w:txbxContent>
                </v:textbox>
              </v:shape>
            </w:pict>
          </mc:Fallback>
        </mc:AlternateContent>
      </w:r>
      <w:r w:rsidR="00076D6E">
        <w:rPr>
          <w:bCs/>
        </w:rPr>
        <w:br w:type="page"/>
      </w:r>
      <w:r w:rsidR="00D849C4">
        <w:rPr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Top Ten Domiciles in 2016</w:t>
      </w:r>
    </w:p>
    <w:p w:rsidR="00D849C4" w:rsidRDefault="00147B3F" w:rsidP="00D849C4">
      <w:pPr>
        <w:pStyle w:val="Footer"/>
        <w:jc w:val="center"/>
        <w:outlineLvl w:val="0"/>
        <w:rPr>
          <w:b/>
          <w:bCs/>
          <w:i/>
          <w:iCs/>
          <w:sz w:val="16"/>
          <w:szCs w:val="16"/>
          <w:lang w:val="en-US"/>
        </w:rPr>
      </w:pPr>
      <w:r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Largest Domiciles in terms of Net Assets and Net S</w:t>
      </w:r>
      <w:r w:rsidR="00D849C4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ales</w:t>
      </w:r>
    </w:p>
    <w:p w:rsidR="00D849C4" w:rsidRDefault="00D849C4" w:rsidP="00D849C4">
      <w:pPr>
        <w:autoSpaceDE/>
        <w:autoSpaceDN/>
        <w:jc w:val="center"/>
        <w:rPr>
          <w:b/>
          <w:bCs/>
          <w:i/>
          <w:iCs/>
          <w:sz w:val="16"/>
          <w:szCs w:val="16"/>
        </w:rPr>
      </w:pPr>
    </w:p>
    <w:p w:rsidR="00D849C4" w:rsidRDefault="00D849C4">
      <w:pPr>
        <w:autoSpaceDE/>
        <w:autoSpaceDN/>
        <w:rPr>
          <w:bCs/>
        </w:rPr>
      </w:pPr>
    </w:p>
    <w:p w:rsidR="006D4966" w:rsidRDefault="006E55D0" w:rsidP="008B75A0">
      <w:pPr>
        <w:autoSpaceDE/>
        <w:autoSpaceDN/>
        <w:jc w:val="center"/>
        <w:rPr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813888" behindDoc="0" locked="0" layoutInCell="1" allowOverlap="1" wp14:anchorId="184EE5EA">
            <wp:simplePos x="0" y="0"/>
            <wp:positionH relativeFrom="column">
              <wp:posOffset>3466465</wp:posOffset>
            </wp:positionH>
            <wp:positionV relativeFrom="page">
              <wp:posOffset>2690037</wp:posOffset>
            </wp:positionV>
            <wp:extent cx="3112179" cy="2472690"/>
            <wp:effectExtent l="0" t="0" r="0" b="381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29" cy="24730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783168" behindDoc="0" locked="0" layoutInCell="1" allowOverlap="1" wp14:anchorId="5433F7DE">
            <wp:simplePos x="0" y="0"/>
            <wp:positionH relativeFrom="column">
              <wp:posOffset>3342773</wp:posOffset>
            </wp:positionH>
            <wp:positionV relativeFrom="page">
              <wp:posOffset>6765290</wp:posOffset>
            </wp:positionV>
            <wp:extent cx="3239770" cy="2472690"/>
            <wp:effectExtent l="0" t="0" r="0" b="3810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2472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2122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-137707</wp:posOffset>
                </wp:positionH>
                <wp:positionV relativeFrom="paragraph">
                  <wp:posOffset>8271939</wp:posOffset>
                </wp:positionV>
                <wp:extent cx="6642188" cy="318401"/>
                <wp:effectExtent l="0" t="0" r="0" b="571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2188" cy="3184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6E54" w:rsidRPr="00636E54" w:rsidRDefault="00636E54">
                            <w:pPr>
                              <w:rPr>
                                <w:sz w:val="16"/>
                              </w:rPr>
                            </w:pPr>
                            <w:r w:rsidRPr="00636E54">
                              <w:rPr>
                                <w:sz w:val="16"/>
                              </w:rPr>
                              <w:t>*Funds domiciled in Switzerland that fulfill the UCITS criteria are classified as UCITS in this report.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" o:spid="_x0000_s1028" type="#_x0000_t202" style="position:absolute;left:0;text-align:left;margin-left:-10.85pt;margin-top:651.35pt;width:523pt;height:25.0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" filled="f" stroked="f" strokeweight=".5pt">
                <v:textbox>
                  <w:txbxContent>
                    <w:p w:rsidR="00636E54" w:rsidRPr="00636E54" w:rsidRDefault="00636E54">
                      <w:pPr>
                        <w:rPr>
                          <w:sz w:val="16"/>
                        </w:rPr>
                      </w:pPr>
                      <w:r w:rsidRPr="00636E54">
                        <w:rPr>
                          <w:sz w:val="16"/>
                        </w:rPr>
                        <w:t>*Funds domiciled in Switzerland that fulfill the UCITS criteria are classified as UCITS in this report.</w:t>
                      </w:r>
                    </w:p>
                  </w:txbxContent>
                </v:textbox>
              </v:shape>
            </w:pict>
          </mc:Fallback>
        </mc:AlternateContent>
      </w:r>
      <w:r w:rsidR="00636E54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0763DB3" wp14:editId="3329E142">
                <wp:simplePos x="0" y="0"/>
                <wp:positionH relativeFrom="column">
                  <wp:posOffset>1399540</wp:posOffset>
                </wp:positionH>
                <wp:positionV relativeFrom="paragraph">
                  <wp:posOffset>291657</wp:posOffset>
                </wp:positionV>
                <wp:extent cx="3879850" cy="276225"/>
                <wp:effectExtent l="0" t="0" r="6350" b="952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9850" cy="27622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7DD7" w:rsidRPr="00717DD7" w:rsidRDefault="00717DD7" w:rsidP="00717DD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</w:rPr>
                              <w:t>UCITS</w:t>
                            </w:r>
                            <w:r w:rsidRPr="00717DD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</w:rPr>
                              <w:t xml:space="preserve"> FUNDS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63DB3" id="Text Box 23" o:spid="_x0000_s1029" type="#_x0000_t202" style="position:absolute;left:0;text-align:left;margin-left:110.2pt;margin-top:22.95pt;width:305.5pt;height:21.7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" fillcolor="#002060" stroked="f" strokeweight=".5pt">
                <v:textbox>
                  <w:txbxContent>
                    <w:p w:rsidR="00717DD7" w:rsidRPr="00717DD7" w:rsidRDefault="00717DD7" w:rsidP="00717DD7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</w:rPr>
                        <w:t>UCITS</w:t>
                      </w:r>
                      <w:r w:rsidRPr="00717DD7"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</w:rPr>
                        <w:t xml:space="preserve"> FUNDS</w:t>
                      </w:r>
                    </w:p>
                  </w:txbxContent>
                </v:textbox>
              </v:shape>
            </w:pict>
          </mc:Fallback>
        </mc:AlternateContent>
      </w:r>
      <w:r w:rsidR="00636E54">
        <w:rPr>
          <w:b/>
          <w:bCs/>
          <w:noProof/>
          <w:sz w:val="28"/>
          <w:szCs w:val="28"/>
        </w:rPr>
        <w:drawing>
          <wp:anchor distT="0" distB="0" distL="114300" distR="114300" simplePos="0" relativeHeight="251780096" behindDoc="0" locked="0" layoutInCell="1" allowOverlap="1" wp14:anchorId="7AB6AE19">
            <wp:simplePos x="0" y="0"/>
            <wp:positionH relativeFrom="column">
              <wp:posOffset>-90554</wp:posOffset>
            </wp:positionH>
            <wp:positionV relativeFrom="paragraph">
              <wp:posOffset>5374640</wp:posOffset>
            </wp:positionV>
            <wp:extent cx="3239770" cy="2472690"/>
            <wp:effectExtent l="0" t="0" r="0" b="381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2472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6E54">
        <w:rPr>
          <w:b/>
          <w:bCs/>
          <w:noProof/>
          <w:sz w:val="28"/>
          <w:szCs w:val="28"/>
        </w:rPr>
        <w:drawing>
          <wp:anchor distT="0" distB="0" distL="114300" distR="114300" simplePos="0" relativeHeight="251793408" behindDoc="0" locked="0" layoutInCell="1" allowOverlap="1" wp14:anchorId="7D0031C8">
            <wp:simplePos x="0" y="0"/>
            <wp:positionH relativeFrom="column">
              <wp:posOffset>24863</wp:posOffset>
            </wp:positionH>
            <wp:positionV relativeFrom="page">
              <wp:posOffset>2687187</wp:posOffset>
            </wp:positionV>
            <wp:extent cx="3240000" cy="2473200"/>
            <wp:effectExtent l="0" t="0" r="0" b="381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47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7DD7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700405</wp:posOffset>
                </wp:positionH>
                <wp:positionV relativeFrom="paragraph">
                  <wp:posOffset>837565</wp:posOffset>
                </wp:positionV>
                <wp:extent cx="1590675" cy="352425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9C4" w:rsidRPr="004E6EDE" w:rsidRDefault="00147B3F" w:rsidP="004E6ED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2060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  <w:sz w:val="20"/>
                              </w:rPr>
                              <w:t>Net Assets at end 2016</w:t>
                            </w:r>
                          </w:p>
                          <w:p w:rsidR="00D849C4" w:rsidRPr="004E6EDE" w:rsidRDefault="00D849C4" w:rsidP="004E6ED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2060"/>
                                <w:sz w:val="16"/>
                              </w:rPr>
                            </w:pPr>
                            <w:r w:rsidRPr="004E6EDE">
                              <w:rPr>
                                <w:rFonts w:ascii="Arial" w:hAnsi="Arial" w:cs="Arial"/>
                                <w:b/>
                                <w:color w:val="002060"/>
                                <w:sz w:val="16"/>
                              </w:rPr>
                              <w:t>(EUR billion)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0" o:spid="_x0000_s1030" type="#_x0000_t202" style="position:absolute;left:0;text-align:left;margin-left:55.15pt;margin-top:65.95pt;width:125.25pt;height:27.7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" filled="f" stroked="f" strokeweight=".5pt">
                <v:textbox>
                  <w:txbxContent>
                    <w:p w:rsidR="00D849C4" w:rsidRPr="004E6EDE" w:rsidRDefault="00147B3F" w:rsidP="004E6EDE">
                      <w:pPr>
                        <w:jc w:val="center"/>
                        <w:rPr>
                          <w:rFonts w:ascii="Arial" w:hAnsi="Arial" w:cs="Arial"/>
                          <w:b/>
                          <w:color w:val="002060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2060"/>
                          <w:sz w:val="20"/>
                        </w:rPr>
                        <w:t>Net Assets at end 2016</w:t>
                      </w:r>
                    </w:p>
                    <w:p w:rsidR="00D849C4" w:rsidRPr="004E6EDE" w:rsidRDefault="00D849C4" w:rsidP="004E6EDE">
                      <w:pPr>
                        <w:jc w:val="center"/>
                        <w:rPr>
                          <w:rFonts w:ascii="Arial" w:hAnsi="Arial" w:cs="Arial"/>
                          <w:b/>
                          <w:color w:val="002060"/>
                          <w:sz w:val="16"/>
                        </w:rPr>
                      </w:pPr>
                      <w:r w:rsidRPr="004E6EDE">
                        <w:rPr>
                          <w:rFonts w:ascii="Arial" w:hAnsi="Arial" w:cs="Arial"/>
                          <w:b/>
                          <w:color w:val="002060"/>
                          <w:sz w:val="16"/>
                        </w:rPr>
                        <w:t>(EUR billion)</w:t>
                      </w:r>
                    </w:p>
                  </w:txbxContent>
                </v:textbox>
              </v:shape>
            </w:pict>
          </mc:Fallback>
        </mc:AlternateContent>
      </w:r>
      <w:r w:rsidR="00717DD7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6DE741B" wp14:editId="0F190561">
                <wp:simplePos x="0" y="0"/>
                <wp:positionH relativeFrom="column">
                  <wp:posOffset>4231640</wp:posOffset>
                </wp:positionH>
                <wp:positionV relativeFrom="paragraph">
                  <wp:posOffset>837565</wp:posOffset>
                </wp:positionV>
                <wp:extent cx="1590675" cy="352425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6EDE" w:rsidRPr="004E6EDE" w:rsidRDefault="00147B3F" w:rsidP="004E6ED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2060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  <w:sz w:val="20"/>
                              </w:rPr>
                              <w:t>Net Sales in 2016</w:t>
                            </w:r>
                          </w:p>
                          <w:p w:rsidR="004E6EDE" w:rsidRPr="004E6EDE" w:rsidRDefault="004E6EDE" w:rsidP="004E6ED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2060"/>
                                <w:sz w:val="16"/>
                              </w:rPr>
                            </w:pPr>
                            <w:r w:rsidRPr="004E6EDE">
                              <w:rPr>
                                <w:rFonts w:ascii="Arial" w:hAnsi="Arial" w:cs="Arial"/>
                                <w:b/>
                                <w:color w:val="002060"/>
                                <w:sz w:val="16"/>
                              </w:rPr>
                              <w:t>(EUR billion)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E741B" id="Text Box 43" o:spid="_x0000_s1031" type="#_x0000_t202" style="position:absolute;left:0;text-align:left;margin-left:333.2pt;margin-top:65.95pt;width:125.25pt;height:27.7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" filled="f" stroked="f" strokeweight=".5pt">
                <v:textbox>
                  <w:txbxContent>
                    <w:p w:rsidR="004E6EDE" w:rsidRPr="004E6EDE" w:rsidRDefault="00147B3F" w:rsidP="004E6EDE">
                      <w:pPr>
                        <w:jc w:val="center"/>
                        <w:rPr>
                          <w:rFonts w:ascii="Arial" w:hAnsi="Arial" w:cs="Arial"/>
                          <w:b/>
                          <w:color w:val="002060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2060"/>
                          <w:sz w:val="20"/>
                        </w:rPr>
                        <w:t>Net Sales in 2016</w:t>
                      </w:r>
                    </w:p>
                    <w:p w:rsidR="004E6EDE" w:rsidRPr="004E6EDE" w:rsidRDefault="004E6EDE" w:rsidP="004E6EDE">
                      <w:pPr>
                        <w:jc w:val="center"/>
                        <w:rPr>
                          <w:rFonts w:ascii="Arial" w:hAnsi="Arial" w:cs="Arial"/>
                          <w:b/>
                          <w:color w:val="002060"/>
                          <w:sz w:val="16"/>
                        </w:rPr>
                      </w:pPr>
                      <w:r w:rsidRPr="004E6EDE">
                        <w:rPr>
                          <w:rFonts w:ascii="Arial" w:hAnsi="Arial" w:cs="Arial"/>
                          <w:b/>
                          <w:color w:val="002060"/>
                          <w:sz w:val="16"/>
                        </w:rPr>
                        <w:t>(EUR billion)</w:t>
                      </w:r>
                    </w:p>
                  </w:txbxContent>
                </v:textbox>
              </v:shape>
            </w:pict>
          </mc:Fallback>
        </mc:AlternateContent>
      </w:r>
      <w:r w:rsidR="00717DD7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95AD73B" wp14:editId="0CFFD68B">
                <wp:simplePos x="0" y="0"/>
                <wp:positionH relativeFrom="column">
                  <wp:posOffset>558800</wp:posOffset>
                </wp:positionH>
                <wp:positionV relativeFrom="paragraph">
                  <wp:posOffset>4926965</wp:posOffset>
                </wp:positionV>
                <wp:extent cx="1590675" cy="35242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7B3F" w:rsidRPr="004E6EDE" w:rsidRDefault="00147B3F" w:rsidP="00147B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2060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  <w:sz w:val="20"/>
                              </w:rPr>
                              <w:t>Net Assets at end 2016</w:t>
                            </w:r>
                          </w:p>
                          <w:p w:rsidR="00147B3F" w:rsidRPr="004E6EDE" w:rsidRDefault="00147B3F" w:rsidP="00147B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2060"/>
                                <w:sz w:val="16"/>
                              </w:rPr>
                            </w:pPr>
                            <w:r w:rsidRPr="004E6EDE">
                              <w:rPr>
                                <w:rFonts w:ascii="Arial" w:hAnsi="Arial" w:cs="Arial"/>
                                <w:b/>
                                <w:color w:val="002060"/>
                                <w:sz w:val="16"/>
                              </w:rPr>
                              <w:t>(EUR billion)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AD73B" id="Text Box 4" o:spid="_x0000_s1032" type="#_x0000_t202" style="position:absolute;left:0;text-align:left;margin-left:44pt;margin-top:387.95pt;width:125.25pt;height:27.7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" filled="f" stroked="f" strokeweight=".5pt">
                <v:textbox>
                  <w:txbxContent>
                    <w:p w:rsidR="00147B3F" w:rsidRPr="004E6EDE" w:rsidRDefault="00147B3F" w:rsidP="00147B3F">
                      <w:pPr>
                        <w:jc w:val="center"/>
                        <w:rPr>
                          <w:rFonts w:ascii="Arial" w:hAnsi="Arial" w:cs="Arial"/>
                          <w:b/>
                          <w:color w:val="002060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2060"/>
                          <w:sz w:val="20"/>
                        </w:rPr>
                        <w:t>Net Assets at end 2016</w:t>
                      </w:r>
                    </w:p>
                    <w:p w:rsidR="00147B3F" w:rsidRPr="004E6EDE" w:rsidRDefault="00147B3F" w:rsidP="00147B3F">
                      <w:pPr>
                        <w:jc w:val="center"/>
                        <w:rPr>
                          <w:rFonts w:ascii="Arial" w:hAnsi="Arial" w:cs="Arial"/>
                          <w:b/>
                          <w:color w:val="002060"/>
                          <w:sz w:val="16"/>
                        </w:rPr>
                      </w:pPr>
                      <w:r w:rsidRPr="004E6EDE">
                        <w:rPr>
                          <w:rFonts w:ascii="Arial" w:hAnsi="Arial" w:cs="Arial"/>
                          <w:b/>
                          <w:color w:val="002060"/>
                          <w:sz w:val="16"/>
                        </w:rPr>
                        <w:t>(EUR billion)</w:t>
                      </w:r>
                    </w:p>
                  </w:txbxContent>
                </v:textbox>
              </v:shape>
            </w:pict>
          </mc:Fallback>
        </mc:AlternateContent>
      </w:r>
      <w:r w:rsidR="00717DD7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F5BF37B" wp14:editId="6598B0A4">
                <wp:simplePos x="0" y="0"/>
                <wp:positionH relativeFrom="column">
                  <wp:posOffset>4089400</wp:posOffset>
                </wp:positionH>
                <wp:positionV relativeFrom="paragraph">
                  <wp:posOffset>4926965</wp:posOffset>
                </wp:positionV>
                <wp:extent cx="1590675" cy="35242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7B3F" w:rsidRPr="004E6EDE" w:rsidRDefault="00147B3F" w:rsidP="00147B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2060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  <w:sz w:val="20"/>
                              </w:rPr>
                              <w:t>Net Sales in 2016</w:t>
                            </w:r>
                          </w:p>
                          <w:p w:rsidR="00147B3F" w:rsidRPr="004E6EDE" w:rsidRDefault="00147B3F" w:rsidP="00147B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2060"/>
                                <w:sz w:val="16"/>
                              </w:rPr>
                            </w:pPr>
                            <w:r w:rsidRPr="004E6EDE">
                              <w:rPr>
                                <w:rFonts w:ascii="Arial" w:hAnsi="Arial" w:cs="Arial"/>
                                <w:b/>
                                <w:color w:val="002060"/>
                                <w:sz w:val="16"/>
                              </w:rPr>
                              <w:t>(EUR billion)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BF37B" id="Text Box 18" o:spid="_x0000_s1033" type="#_x0000_t202" style="position:absolute;left:0;text-align:left;margin-left:322pt;margin-top:387.95pt;width:125.25pt;height:27.7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" filled="f" stroked="f" strokeweight=".5pt">
                <v:textbox>
                  <w:txbxContent>
                    <w:p w:rsidR="00147B3F" w:rsidRPr="004E6EDE" w:rsidRDefault="00147B3F" w:rsidP="00147B3F">
                      <w:pPr>
                        <w:jc w:val="center"/>
                        <w:rPr>
                          <w:rFonts w:ascii="Arial" w:hAnsi="Arial" w:cs="Arial"/>
                          <w:b/>
                          <w:color w:val="002060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2060"/>
                          <w:sz w:val="20"/>
                        </w:rPr>
                        <w:t>Net Sales in 2016</w:t>
                      </w:r>
                    </w:p>
                    <w:p w:rsidR="00147B3F" w:rsidRPr="004E6EDE" w:rsidRDefault="00147B3F" w:rsidP="00147B3F">
                      <w:pPr>
                        <w:jc w:val="center"/>
                        <w:rPr>
                          <w:rFonts w:ascii="Arial" w:hAnsi="Arial" w:cs="Arial"/>
                          <w:b/>
                          <w:color w:val="002060"/>
                          <w:sz w:val="16"/>
                        </w:rPr>
                      </w:pPr>
                      <w:r w:rsidRPr="004E6EDE">
                        <w:rPr>
                          <w:rFonts w:ascii="Arial" w:hAnsi="Arial" w:cs="Arial"/>
                          <w:b/>
                          <w:color w:val="002060"/>
                          <w:sz w:val="16"/>
                        </w:rPr>
                        <w:t>(EUR billion)</w:t>
                      </w:r>
                    </w:p>
                  </w:txbxContent>
                </v:textbox>
              </v:shape>
            </w:pict>
          </mc:Fallback>
        </mc:AlternateContent>
      </w:r>
      <w:r w:rsidR="00717DD7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25D1F47" wp14:editId="19859733">
                <wp:simplePos x="0" y="0"/>
                <wp:positionH relativeFrom="column">
                  <wp:posOffset>1300262</wp:posOffset>
                </wp:positionH>
                <wp:positionV relativeFrom="paragraph">
                  <wp:posOffset>4392295</wp:posOffset>
                </wp:positionV>
                <wp:extent cx="3879850" cy="276225"/>
                <wp:effectExtent l="0" t="0" r="6350" b="952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9850" cy="27622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7DD7" w:rsidRPr="00717DD7" w:rsidRDefault="00717DD7" w:rsidP="00717DD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</w:rPr>
                            </w:pPr>
                            <w:r w:rsidRPr="00717DD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</w:rPr>
                              <w:t>AIF FUNDS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D1F47" id="Text Box 20" o:spid="_x0000_s1034" type="#_x0000_t202" style="position:absolute;left:0;text-align:left;margin-left:102.4pt;margin-top:345.85pt;width:305.5pt;height:21.7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" fillcolor="#002060" stroked="f" strokeweight=".5pt">
                <v:textbox>
                  <w:txbxContent>
                    <w:p w:rsidR="00717DD7" w:rsidRPr="00717DD7" w:rsidRDefault="00717DD7" w:rsidP="00717DD7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</w:rPr>
                      </w:pPr>
                      <w:r w:rsidRPr="00717DD7"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</w:rPr>
                        <w:t>AIF FUNDS</w:t>
                      </w:r>
                    </w:p>
                  </w:txbxContent>
                </v:textbox>
              </v:shape>
            </w:pict>
          </mc:Fallback>
        </mc:AlternateContent>
      </w:r>
    </w:p>
    <w:p w:rsidR="006D4966" w:rsidRPr="006D4966" w:rsidRDefault="006D4966" w:rsidP="006D4966">
      <w:pPr>
        <w:rPr>
          <w:sz w:val="28"/>
          <w:szCs w:val="28"/>
        </w:rPr>
      </w:pPr>
    </w:p>
    <w:p w:rsidR="006D4966" w:rsidRPr="006D4966" w:rsidRDefault="006D4966" w:rsidP="006D4966">
      <w:pPr>
        <w:rPr>
          <w:sz w:val="28"/>
          <w:szCs w:val="28"/>
        </w:rPr>
      </w:pPr>
    </w:p>
    <w:p w:rsidR="006D4966" w:rsidRPr="006D4966" w:rsidRDefault="006D4966" w:rsidP="006D4966">
      <w:pPr>
        <w:rPr>
          <w:sz w:val="28"/>
          <w:szCs w:val="28"/>
        </w:rPr>
      </w:pPr>
    </w:p>
    <w:p w:rsidR="006D4966" w:rsidRPr="006D4966" w:rsidRDefault="006D4966" w:rsidP="006D4966">
      <w:pPr>
        <w:rPr>
          <w:sz w:val="28"/>
          <w:szCs w:val="28"/>
        </w:rPr>
      </w:pPr>
    </w:p>
    <w:p w:rsidR="006D4966" w:rsidRPr="006D4966" w:rsidRDefault="006D4966" w:rsidP="006D4966">
      <w:pPr>
        <w:rPr>
          <w:sz w:val="28"/>
          <w:szCs w:val="28"/>
        </w:rPr>
      </w:pPr>
    </w:p>
    <w:p w:rsidR="006D4966" w:rsidRPr="006D4966" w:rsidRDefault="006D4966" w:rsidP="006D4966">
      <w:pPr>
        <w:rPr>
          <w:sz w:val="28"/>
          <w:szCs w:val="28"/>
        </w:rPr>
      </w:pPr>
    </w:p>
    <w:p w:rsidR="006D4966" w:rsidRPr="006D4966" w:rsidRDefault="006D4966" w:rsidP="006D4966">
      <w:pPr>
        <w:rPr>
          <w:sz w:val="28"/>
          <w:szCs w:val="28"/>
        </w:rPr>
      </w:pPr>
    </w:p>
    <w:p w:rsidR="006D4966" w:rsidRPr="006D4966" w:rsidRDefault="006D4966" w:rsidP="006D4966">
      <w:pPr>
        <w:rPr>
          <w:sz w:val="28"/>
          <w:szCs w:val="28"/>
        </w:rPr>
      </w:pPr>
    </w:p>
    <w:p w:rsidR="006D4966" w:rsidRPr="006D4966" w:rsidRDefault="006D4966" w:rsidP="006D4966">
      <w:pPr>
        <w:rPr>
          <w:sz w:val="28"/>
          <w:szCs w:val="28"/>
        </w:rPr>
      </w:pPr>
    </w:p>
    <w:p w:rsidR="006D4966" w:rsidRPr="006D4966" w:rsidRDefault="006D4966" w:rsidP="006D4966">
      <w:pPr>
        <w:rPr>
          <w:sz w:val="28"/>
          <w:szCs w:val="28"/>
        </w:rPr>
      </w:pPr>
    </w:p>
    <w:p w:rsidR="006D4966" w:rsidRPr="006D4966" w:rsidRDefault="006D4966" w:rsidP="006D4966">
      <w:pPr>
        <w:rPr>
          <w:sz w:val="28"/>
          <w:szCs w:val="28"/>
        </w:rPr>
      </w:pPr>
    </w:p>
    <w:p w:rsidR="006D4966" w:rsidRPr="006D4966" w:rsidRDefault="006D4966" w:rsidP="006D4966">
      <w:pPr>
        <w:rPr>
          <w:sz w:val="28"/>
          <w:szCs w:val="28"/>
        </w:rPr>
      </w:pPr>
    </w:p>
    <w:p w:rsidR="006D4966" w:rsidRPr="006D4966" w:rsidRDefault="006D4966" w:rsidP="006D4966">
      <w:pPr>
        <w:rPr>
          <w:sz w:val="28"/>
          <w:szCs w:val="28"/>
        </w:rPr>
      </w:pPr>
    </w:p>
    <w:p w:rsidR="006D4966" w:rsidRPr="006D4966" w:rsidRDefault="006D4966" w:rsidP="006D4966">
      <w:pPr>
        <w:rPr>
          <w:sz w:val="28"/>
          <w:szCs w:val="28"/>
        </w:rPr>
      </w:pPr>
    </w:p>
    <w:p w:rsidR="006D4966" w:rsidRPr="006D4966" w:rsidRDefault="006D4966" w:rsidP="006D4966">
      <w:pPr>
        <w:rPr>
          <w:sz w:val="28"/>
          <w:szCs w:val="28"/>
        </w:rPr>
      </w:pPr>
    </w:p>
    <w:p w:rsidR="006D4966" w:rsidRPr="006D4966" w:rsidRDefault="006D4966" w:rsidP="006D4966">
      <w:pPr>
        <w:rPr>
          <w:sz w:val="28"/>
          <w:szCs w:val="28"/>
        </w:rPr>
      </w:pPr>
    </w:p>
    <w:p w:rsidR="006D4966" w:rsidRPr="006D4966" w:rsidRDefault="006D4966" w:rsidP="006D4966">
      <w:pPr>
        <w:rPr>
          <w:sz w:val="28"/>
          <w:szCs w:val="28"/>
        </w:rPr>
      </w:pPr>
    </w:p>
    <w:p w:rsidR="006D4966" w:rsidRPr="006D4966" w:rsidRDefault="006D4966" w:rsidP="006D4966">
      <w:pPr>
        <w:rPr>
          <w:sz w:val="28"/>
          <w:szCs w:val="28"/>
        </w:rPr>
      </w:pPr>
    </w:p>
    <w:p w:rsidR="006D4966" w:rsidRPr="006D4966" w:rsidRDefault="006D4966" w:rsidP="006D4966">
      <w:pPr>
        <w:rPr>
          <w:sz w:val="28"/>
          <w:szCs w:val="28"/>
        </w:rPr>
      </w:pPr>
    </w:p>
    <w:p w:rsidR="006D4966" w:rsidRPr="006D4966" w:rsidRDefault="006D4966" w:rsidP="006D4966">
      <w:pPr>
        <w:rPr>
          <w:sz w:val="28"/>
          <w:szCs w:val="28"/>
        </w:rPr>
      </w:pPr>
    </w:p>
    <w:p w:rsidR="006D4966" w:rsidRPr="006D4966" w:rsidRDefault="006D4966" w:rsidP="006D4966">
      <w:pPr>
        <w:rPr>
          <w:sz w:val="28"/>
          <w:szCs w:val="28"/>
        </w:rPr>
      </w:pPr>
    </w:p>
    <w:p w:rsidR="006D4966" w:rsidRPr="006D4966" w:rsidRDefault="006D4966" w:rsidP="006D4966">
      <w:pPr>
        <w:rPr>
          <w:sz w:val="28"/>
          <w:szCs w:val="28"/>
        </w:rPr>
      </w:pPr>
    </w:p>
    <w:p w:rsidR="006D4966" w:rsidRPr="006D4966" w:rsidRDefault="006D4966" w:rsidP="006D4966">
      <w:pPr>
        <w:rPr>
          <w:sz w:val="28"/>
          <w:szCs w:val="28"/>
        </w:rPr>
      </w:pPr>
    </w:p>
    <w:p w:rsidR="006D4966" w:rsidRPr="006D4966" w:rsidRDefault="006D4966" w:rsidP="006D4966">
      <w:pPr>
        <w:rPr>
          <w:sz w:val="28"/>
          <w:szCs w:val="28"/>
        </w:rPr>
      </w:pPr>
    </w:p>
    <w:p w:rsidR="006D4966" w:rsidRPr="006D4966" w:rsidRDefault="006D4966" w:rsidP="006D4966">
      <w:pPr>
        <w:rPr>
          <w:sz w:val="28"/>
          <w:szCs w:val="28"/>
        </w:rPr>
      </w:pPr>
    </w:p>
    <w:p w:rsidR="006D4966" w:rsidRPr="006D4966" w:rsidRDefault="006D4966" w:rsidP="006D4966">
      <w:pPr>
        <w:rPr>
          <w:sz w:val="28"/>
          <w:szCs w:val="28"/>
        </w:rPr>
      </w:pPr>
    </w:p>
    <w:p w:rsidR="006D4966" w:rsidRPr="006D4966" w:rsidRDefault="006D4966" w:rsidP="006D4966">
      <w:pPr>
        <w:rPr>
          <w:sz w:val="28"/>
          <w:szCs w:val="28"/>
        </w:rPr>
      </w:pPr>
    </w:p>
    <w:p w:rsidR="006D4966" w:rsidRPr="006D4966" w:rsidRDefault="006D4966" w:rsidP="006D4966">
      <w:pPr>
        <w:rPr>
          <w:sz w:val="28"/>
          <w:szCs w:val="28"/>
        </w:rPr>
      </w:pPr>
    </w:p>
    <w:p w:rsidR="006D4966" w:rsidRPr="006D4966" w:rsidRDefault="006D4966" w:rsidP="006D4966">
      <w:pPr>
        <w:rPr>
          <w:sz w:val="28"/>
          <w:szCs w:val="28"/>
        </w:rPr>
      </w:pPr>
    </w:p>
    <w:p w:rsidR="006D4966" w:rsidRPr="006D4966" w:rsidRDefault="006D4966" w:rsidP="006D4966">
      <w:pPr>
        <w:rPr>
          <w:sz w:val="28"/>
          <w:szCs w:val="28"/>
        </w:rPr>
      </w:pPr>
    </w:p>
    <w:p w:rsidR="006D4966" w:rsidRPr="006D4966" w:rsidRDefault="006D4966" w:rsidP="006D4966">
      <w:pPr>
        <w:rPr>
          <w:sz w:val="28"/>
          <w:szCs w:val="28"/>
        </w:rPr>
      </w:pPr>
    </w:p>
    <w:p w:rsidR="006D4966" w:rsidRPr="006D4966" w:rsidRDefault="006D4966" w:rsidP="006D4966">
      <w:pPr>
        <w:rPr>
          <w:sz w:val="28"/>
          <w:szCs w:val="28"/>
        </w:rPr>
      </w:pPr>
    </w:p>
    <w:p w:rsidR="006D4966" w:rsidRPr="006D4966" w:rsidRDefault="006D4966" w:rsidP="006D4966">
      <w:pPr>
        <w:rPr>
          <w:sz w:val="28"/>
          <w:szCs w:val="28"/>
        </w:rPr>
      </w:pPr>
    </w:p>
    <w:p w:rsidR="006D4966" w:rsidRPr="006D4966" w:rsidRDefault="006D4966" w:rsidP="006D4966">
      <w:pPr>
        <w:rPr>
          <w:sz w:val="28"/>
          <w:szCs w:val="28"/>
        </w:rPr>
      </w:pPr>
    </w:p>
    <w:p w:rsidR="006D4966" w:rsidRPr="006D4966" w:rsidRDefault="006D4966" w:rsidP="006D4966">
      <w:pPr>
        <w:rPr>
          <w:sz w:val="28"/>
          <w:szCs w:val="28"/>
        </w:rPr>
      </w:pPr>
    </w:p>
    <w:p w:rsidR="006D4966" w:rsidRDefault="006D4966" w:rsidP="008B75A0">
      <w:pPr>
        <w:autoSpaceDE/>
        <w:autoSpaceDN/>
        <w:jc w:val="center"/>
        <w:rPr>
          <w:sz w:val="28"/>
          <w:szCs w:val="28"/>
        </w:rPr>
      </w:pPr>
    </w:p>
    <w:p w:rsidR="006D4966" w:rsidRDefault="006D4966" w:rsidP="008B75A0">
      <w:pPr>
        <w:autoSpaceDE/>
        <w:autoSpaceDN/>
        <w:jc w:val="center"/>
        <w:rPr>
          <w:sz w:val="28"/>
          <w:szCs w:val="28"/>
        </w:rPr>
      </w:pPr>
    </w:p>
    <w:p w:rsidR="006D4966" w:rsidRDefault="006D4966" w:rsidP="006D4966">
      <w:pPr>
        <w:tabs>
          <w:tab w:val="left" w:pos="3650"/>
        </w:tabs>
        <w:autoSpaceDE/>
        <w:autoSpaceDN/>
        <w:rPr>
          <w:sz w:val="28"/>
          <w:szCs w:val="28"/>
        </w:rPr>
      </w:pPr>
      <w:r>
        <w:rPr>
          <w:sz w:val="28"/>
          <w:szCs w:val="28"/>
        </w:rPr>
        <w:tab/>
      </w:r>
    </w:p>
    <w:p w:rsidR="001F6F91" w:rsidRPr="008C2583" w:rsidRDefault="00D849C4" w:rsidP="008B75A0">
      <w:pPr>
        <w:autoSpaceDE/>
        <w:autoSpaceDN/>
        <w:jc w:val="center"/>
        <w:rPr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D4966">
        <w:rPr>
          <w:sz w:val="28"/>
          <w:szCs w:val="28"/>
        </w:rPr>
        <w:br w:type="page"/>
      </w:r>
      <w:r w:rsidR="001F6F91" w:rsidRPr="008C2583">
        <w:rPr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Trends in the UCITS Market</w:t>
      </w:r>
    </w:p>
    <w:p w:rsidR="001F6F91" w:rsidRDefault="001F6F91" w:rsidP="001F6F91">
      <w:pPr>
        <w:pStyle w:val="Footer"/>
        <w:jc w:val="center"/>
        <w:outlineLvl w:val="0"/>
        <w:rPr>
          <w:b/>
          <w:bCs/>
          <w:i/>
          <w:iCs/>
          <w:sz w:val="16"/>
          <w:szCs w:val="16"/>
          <w:lang w:val="en-US"/>
        </w:rPr>
      </w:pPr>
      <w:r w:rsidRPr="008C2583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Net Sales by Investment Type</w:t>
      </w:r>
    </w:p>
    <w:p w:rsidR="001F6F91" w:rsidRDefault="001F6F91" w:rsidP="001F6F91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sz w:val="22"/>
          <w:szCs w:val="22"/>
          <w:lang w:val="en-US"/>
        </w:rPr>
      </w:pPr>
    </w:p>
    <w:p w:rsidR="001F6F91" w:rsidRDefault="001F6F91" w:rsidP="001F6F91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color w:val="0000FF"/>
          <w:sz w:val="22"/>
          <w:szCs w:val="22"/>
          <w:lang w:val="en-US"/>
        </w:rPr>
        <w:t>Net</w:t>
      </w:r>
      <w:r w:rsidR="005E29C5">
        <w:rPr>
          <w:b/>
          <w:bCs/>
          <w:color w:val="0000FF"/>
          <w:sz w:val="22"/>
          <w:szCs w:val="22"/>
          <w:lang w:val="en-US"/>
        </w:rPr>
        <w:t xml:space="preserve"> sales of UCITS </w:t>
      </w:r>
      <w:r w:rsidR="00BB0511">
        <w:rPr>
          <w:b/>
          <w:bCs/>
          <w:color w:val="0000FF"/>
          <w:sz w:val="22"/>
          <w:szCs w:val="22"/>
          <w:lang w:val="en-US"/>
        </w:rPr>
        <w:t xml:space="preserve">totaled </w:t>
      </w:r>
      <w:r>
        <w:rPr>
          <w:b/>
          <w:bCs/>
          <w:color w:val="0000FF"/>
          <w:sz w:val="22"/>
          <w:szCs w:val="22"/>
        </w:rPr>
        <w:t xml:space="preserve">EUR </w:t>
      </w:r>
      <w:r w:rsidR="005E29C5">
        <w:rPr>
          <w:b/>
          <w:bCs/>
          <w:color w:val="0000FF"/>
          <w:sz w:val="22"/>
          <w:szCs w:val="22"/>
        </w:rPr>
        <w:t>82</w:t>
      </w:r>
      <w:r>
        <w:rPr>
          <w:b/>
          <w:bCs/>
          <w:color w:val="0000FF"/>
          <w:sz w:val="22"/>
          <w:szCs w:val="22"/>
        </w:rPr>
        <w:t xml:space="preserve"> billio</w:t>
      </w:r>
      <w:r w:rsidR="005E29C5">
        <w:rPr>
          <w:b/>
          <w:bCs/>
          <w:color w:val="0000FF"/>
          <w:sz w:val="22"/>
          <w:szCs w:val="22"/>
        </w:rPr>
        <w:t>n</w:t>
      </w:r>
      <w:r w:rsidR="00BB0511">
        <w:rPr>
          <w:b/>
          <w:bCs/>
          <w:color w:val="0000FF"/>
          <w:sz w:val="22"/>
          <w:szCs w:val="22"/>
        </w:rPr>
        <w:t xml:space="preserve"> in Q4 2016</w:t>
      </w:r>
      <w:r w:rsidR="005E29C5">
        <w:rPr>
          <w:b/>
          <w:bCs/>
          <w:color w:val="0000FF"/>
          <w:sz w:val="22"/>
          <w:szCs w:val="22"/>
        </w:rPr>
        <w:t>, down from EUR 129</w:t>
      </w:r>
      <w:r>
        <w:rPr>
          <w:b/>
          <w:bCs/>
          <w:color w:val="0000FF"/>
          <w:sz w:val="22"/>
          <w:szCs w:val="22"/>
        </w:rPr>
        <w:t xml:space="preserve"> billion in </w:t>
      </w:r>
      <w:r w:rsidR="00BB0511">
        <w:rPr>
          <w:b/>
          <w:bCs/>
          <w:color w:val="0000FF"/>
          <w:sz w:val="22"/>
          <w:szCs w:val="22"/>
        </w:rPr>
        <w:t>Q3 2016.  In 2016, UCITS garnered net sales of EUR 275 billion, compared to EUR 590 billion in 2015.</w:t>
      </w:r>
      <w:r>
        <w:rPr>
          <w:b/>
          <w:bCs/>
          <w:color w:val="0000FF"/>
          <w:sz w:val="22"/>
          <w:szCs w:val="22"/>
        </w:rPr>
        <w:t xml:space="preserve"> </w:t>
      </w:r>
    </w:p>
    <w:p w:rsidR="001F6F91" w:rsidRDefault="001F6F91" w:rsidP="001F6F91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bCs/>
          <w:color w:val="0000FF"/>
          <w:sz w:val="22"/>
          <w:szCs w:val="22"/>
        </w:rPr>
      </w:pPr>
    </w:p>
    <w:p w:rsidR="001F6F91" w:rsidRDefault="001F6F91" w:rsidP="001F6F91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Cs/>
          <w:color w:val="000000"/>
          <w:sz w:val="22"/>
          <w:szCs w:val="22"/>
        </w:rPr>
      </w:pPr>
      <w:r w:rsidRPr="007D3A6C">
        <w:rPr>
          <w:bCs/>
          <w:color w:val="000000"/>
          <w:sz w:val="22"/>
          <w:szCs w:val="22"/>
        </w:rPr>
        <w:t xml:space="preserve">Long-term UCITS attracted </w:t>
      </w:r>
      <w:r>
        <w:rPr>
          <w:bCs/>
          <w:color w:val="000000"/>
          <w:sz w:val="22"/>
          <w:szCs w:val="22"/>
        </w:rPr>
        <w:t xml:space="preserve">net inflows of </w:t>
      </w:r>
      <w:r w:rsidRPr="007D3A6C">
        <w:rPr>
          <w:bCs/>
          <w:color w:val="000000"/>
          <w:sz w:val="22"/>
          <w:szCs w:val="22"/>
        </w:rPr>
        <w:t xml:space="preserve">EUR </w:t>
      </w:r>
      <w:r w:rsidR="002077F1">
        <w:rPr>
          <w:bCs/>
          <w:color w:val="000000"/>
          <w:sz w:val="22"/>
          <w:szCs w:val="22"/>
        </w:rPr>
        <w:t>45</w:t>
      </w:r>
      <w:r w:rsidRPr="007D3A6C">
        <w:rPr>
          <w:bCs/>
          <w:color w:val="000000"/>
          <w:sz w:val="22"/>
          <w:szCs w:val="22"/>
        </w:rPr>
        <w:t xml:space="preserve"> billion</w:t>
      </w:r>
      <w:r w:rsidR="00B16983">
        <w:rPr>
          <w:bCs/>
          <w:color w:val="000000"/>
          <w:sz w:val="22"/>
          <w:szCs w:val="22"/>
        </w:rPr>
        <w:t>, down</w:t>
      </w:r>
      <w:r w:rsidR="002077F1">
        <w:rPr>
          <w:bCs/>
          <w:color w:val="000000"/>
          <w:sz w:val="22"/>
          <w:szCs w:val="22"/>
        </w:rPr>
        <w:t xml:space="preserve"> from EUR 84</w:t>
      </w:r>
      <w:r>
        <w:rPr>
          <w:bCs/>
          <w:color w:val="000000"/>
          <w:sz w:val="22"/>
          <w:szCs w:val="22"/>
        </w:rPr>
        <w:t xml:space="preserve"> billion in the third quarter. Equity finished the ye</w:t>
      </w:r>
      <w:r w:rsidR="00402C7E">
        <w:rPr>
          <w:bCs/>
          <w:color w:val="000000"/>
          <w:sz w:val="22"/>
          <w:szCs w:val="22"/>
        </w:rPr>
        <w:t xml:space="preserve">ar </w:t>
      </w:r>
      <w:r w:rsidR="002077F1">
        <w:rPr>
          <w:bCs/>
          <w:color w:val="000000"/>
          <w:sz w:val="22"/>
          <w:szCs w:val="22"/>
        </w:rPr>
        <w:t>with inflows of EUR 13</w:t>
      </w:r>
      <w:r>
        <w:rPr>
          <w:bCs/>
          <w:color w:val="000000"/>
          <w:sz w:val="22"/>
          <w:szCs w:val="22"/>
        </w:rPr>
        <w:t xml:space="preserve"> billion, </w:t>
      </w:r>
      <w:r w:rsidR="00B16983">
        <w:rPr>
          <w:bCs/>
          <w:color w:val="000000"/>
          <w:sz w:val="22"/>
          <w:szCs w:val="22"/>
        </w:rPr>
        <w:t>compared to EUR 1 billion in the previous quarter</w:t>
      </w:r>
      <w:r>
        <w:rPr>
          <w:bCs/>
          <w:color w:val="000000"/>
          <w:sz w:val="22"/>
          <w:szCs w:val="22"/>
        </w:rPr>
        <w:t>. Multi-asset fund</w:t>
      </w:r>
      <w:r w:rsidR="002077F1">
        <w:rPr>
          <w:bCs/>
          <w:color w:val="000000"/>
          <w:sz w:val="22"/>
          <w:szCs w:val="22"/>
        </w:rPr>
        <w:t>s registered net sales of EUR 15 billion, slightly up</w:t>
      </w:r>
      <w:r>
        <w:rPr>
          <w:bCs/>
          <w:color w:val="000000"/>
          <w:sz w:val="22"/>
          <w:szCs w:val="22"/>
        </w:rPr>
        <w:t xml:space="preserve"> fro</w:t>
      </w:r>
      <w:r w:rsidR="002077F1">
        <w:rPr>
          <w:bCs/>
          <w:color w:val="000000"/>
          <w:sz w:val="22"/>
          <w:szCs w:val="22"/>
        </w:rPr>
        <w:t>m the EUR 13</w:t>
      </w:r>
      <w:r>
        <w:rPr>
          <w:bCs/>
          <w:color w:val="000000"/>
          <w:sz w:val="22"/>
          <w:szCs w:val="22"/>
        </w:rPr>
        <w:t xml:space="preserve"> billion regis</w:t>
      </w:r>
      <w:r w:rsidR="002077F1">
        <w:rPr>
          <w:bCs/>
          <w:color w:val="000000"/>
          <w:sz w:val="22"/>
          <w:szCs w:val="22"/>
        </w:rPr>
        <w:t>tered in the third quarter. Inf</w:t>
      </w:r>
      <w:r>
        <w:rPr>
          <w:bCs/>
          <w:color w:val="000000"/>
          <w:sz w:val="22"/>
          <w:szCs w:val="22"/>
        </w:rPr>
        <w:t xml:space="preserve">lows </w:t>
      </w:r>
      <w:r w:rsidR="00B16983">
        <w:rPr>
          <w:bCs/>
          <w:color w:val="000000"/>
          <w:sz w:val="22"/>
          <w:szCs w:val="22"/>
        </w:rPr>
        <w:t>of bond funds decreased from EUR 63</w:t>
      </w:r>
      <w:r>
        <w:rPr>
          <w:bCs/>
          <w:color w:val="000000"/>
          <w:sz w:val="22"/>
          <w:szCs w:val="22"/>
        </w:rPr>
        <w:t xml:space="preserve"> billion</w:t>
      </w:r>
      <w:r w:rsidR="00B16983">
        <w:rPr>
          <w:bCs/>
          <w:color w:val="000000"/>
          <w:sz w:val="22"/>
          <w:szCs w:val="22"/>
        </w:rPr>
        <w:t xml:space="preserve"> to EUR 16 billion in Q4 2016.</w:t>
      </w:r>
      <w:r w:rsidR="00504806"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>Money market fu</w:t>
      </w:r>
      <w:r w:rsidR="002077F1">
        <w:rPr>
          <w:bCs/>
          <w:color w:val="000000"/>
          <w:sz w:val="22"/>
          <w:szCs w:val="22"/>
        </w:rPr>
        <w:t>nds posted net inflows of EUR 36 billion, down from EUR 45</w:t>
      </w:r>
      <w:r w:rsidR="00B16983">
        <w:rPr>
          <w:bCs/>
          <w:color w:val="000000"/>
          <w:sz w:val="22"/>
          <w:szCs w:val="22"/>
        </w:rPr>
        <w:t xml:space="preserve"> billion</w:t>
      </w:r>
      <w:r>
        <w:rPr>
          <w:bCs/>
          <w:color w:val="000000"/>
          <w:sz w:val="22"/>
          <w:szCs w:val="22"/>
        </w:rPr>
        <w:t xml:space="preserve"> in the previous quarter. </w:t>
      </w:r>
    </w:p>
    <w:p w:rsidR="001F6F91" w:rsidRDefault="00A97E77" w:rsidP="001F6F91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Cs/>
          <w:color w:val="000000"/>
          <w:sz w:val="22"/>
          <w:szCs w:val="22"/>
        </w:rPr>
      </w:pPr>
      <w:r>
        <w:rPr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746304" behindDoc="0" locked="0" layoutInCell="1" allowOverlap="1" wp14:anchorId="43B24CF2">
            <wp:simplePos x="0" y="0"/>
            <wp:positionH relativeFrom="column">
              <wp:posOffset>3149600</wp:posOffset>
            </wp:positionH>
            <wp:positionV relativeFrom="page">
              <wp:posOffset>2861310</wp:posOffset>
            </wp:positionV>
            <wp:extent cx="3430270" cy="2087880"/>
            <wp:effectExtent l="0" t="0" r="0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270" cy="208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706368" behindDoc="0" locked="0" layoutInCell="1" allowOverlap="1" wp14:anchorId="62102B50">
            <wp:simplePos x="0" y="0"/>
            <wp:positionH relativeFrom="column">
              <wp:posOffset>3215640</wp:posOffset>
            </wp:positionH>
            <wp:positionV relativeFrom="page">
              <wp:posOffset>7186930</wp:posOffset>
            </wp:positionV>
            <wp:extent cx="3077845" cy="2087880"/>
            <wp:effectExtent l="0" t="0" r="0" b="762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845" cy="208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701248" behindDoc="0" locked="0" layoutInCell="1" allowOverlap="1" wp14:anchorId="737027F4">
            <wp:simplePos x="0" y="0"/>
            <wp:positionH relativeFrom="column">
              <wp:posOffset>-197485</wp:posOffset>
            </wp:positionH>
            <wp:positionV relativeFrom="page">
              <wp:posOffset>2856865</wp:posOffset>
            </wp:positionV>
            <wp:extent cx="3432810" cy="208788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810" cy="208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703296" behindDoc="0" locked="0" layoutInCell="1" allowOverlap="1" wp14:anchorId="3A3BB585">
            <wp:simplePos x="0" y="0"/>
            <wp:positionH relativeFrom="column">
              <wp:posOffset>-225425</wp:posOffset>
            </wp:positionH>
            <wp:positionV relativeFrom="page">
              <wp:posOffset>4947920</wp:posOffset>
            </wp:positionV>
            <wp:extent cx="3244850" cy="220027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0" cy="2200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6F91" w:rsidRDefault="001F6F91" w:rsidP="001F6F91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Cs/>
          <w:color w:val="000000"/>
          <w:sz w:val="22"/>
          <w:szCs w:val="22"/>
        </w:rPr>
      </w:pPr>
    </w:p>
    <w:p w:rsidR="00EB6078" w:rsidRDefault="00EB6078" w:rsidP="001F6F91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B6078" w:rsidRDefault="00EB6078" w:rsidP="001F6F91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B6078" w:rsidRDefault="00EB6078" w:rsidP="001F6F91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B6078" w:rsidRDefault="00EB6078" w:rsidP="001F6F91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B6078" w:rsidRDefault="00EB6078" w:rsidP="001F6F91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B6078" w:rsidRDefault="00EB6078" w:rsidP="001F6F91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B6078" w:rsidRDefault="00EB6078" w:rsidP="001F6F91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B6078" w:rsidRDefault="00EB6078" w:rsidP="001F6F91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B6078" w:rsidRDefault="00EB6078" w:rsidP="001F6F91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B6078" w:rsidRDefault="00EB6078" w:rsidP="001F6F91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B6078" w:rsidRDefault="00EB6078" w:rsidP="001F6F91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B6078" w:rsidRDefault="00FD497D" w:rsidP="001F6F91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747328" behindDoc="0" locked="0" layoutInCell="1" allowOverlap="1" wp14:anchorId="34574C1C">
            <wp:simplePos x="0" y="0"/>
            <wp:positionH relativeFrom="column">
              <wp:posOffset>3232947</wp:posOffset>
            </wp:positionH>
            <wp:positionV relativeFrom="page">
              <wp:posOffset>4942840</wp:posOffset>
            </wp:positionV>
            <wp:extent cx="3078000" cy="2088000"/>
            <wp:effectExtent l="0" t="0" r="0" b="762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000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6078" w:rsidRDefault="00EB6078" w:rsidP="001F6F91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B6078" w:rsidRDefault="00EB6078" w:rsidP="001F6F91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B6078" w:rsidRDefault="00EB6078" w:rsidP="001F6F91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B6078" w:rsidRDefault="00EB6078" w:rsidP="001F6F91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B6078" w:rsidRDefault="00EB6078" w:rsidP="001F6F91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B6078" w:rsidRDefault="00EB6078" w:rsidP="001F6F91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B6078" w:rsidRDefault="00EB6078" w:rsidP="001F6F91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B6078" w:rsidRDefault="00EB6078" w:rsidP="001F6F91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B6078" w:rsidRDefault="00EB6078" w:rsidP="001F6F91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B6078" w:rsidRDefault="00EB6078" w:rsidP="001F6F91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B6078" w:rsidRDefault="00EB6078" w:rsidP="001F6F91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B6078" w:rsidRDefault="00EB6078" w:rsidP="001F6F91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B6078" w:rsidRDefault="003D0DAC" w:rsidP="001F6F91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705344" behindDoc="0" locked="0" layoutInCell="1" allowOverlap="1" wp14:anchorId="63C4108B">
            <wp:simplePos x="0" y="0"/>
            <wp:positionH relativeFrom="column">
              <wp:posOffset>-65878</wp:posOffset>
            </wp:positionH>
            <wp:positionV relativeFrom="page">
              <wp:posOffset>7172960</wp:posOffset>
            </wp:positionV>
            <wp:extent cx="3077845" cy="2087880"/>
            <wp:effectExtent l="0" t="0" r="0" b="762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845" cy="208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6078" w:rsidRDefault="00EB6078" w:rsidP="001F6F91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B6078" w:rsidRDefault="00EB6078" w:rsidP="001F6F91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B6078" w:rsidRDefault="00EB6078" w:rsidP="001F6F91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B6078" w:rsidRDefault="00EB6078" w:rsidP="001F6F91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B6078" w:rsidRDefault="00EB6078" w:rsidP="001F6F91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B6078" w:rsidRDefault="00EB6078" w:rsidP="001F6F91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B6078" w:rsidRDefault="00EB6078" w:rsidP="001F6F91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B6078" w:rsidRDefault="00EB6078" w:rsidP="001F6F91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B6078" w:rsidRDefault="00EB6078" w:rsidP="001F6F91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B6078" w:rsidRDefault="00EB6078" w:rsidP="001F6F91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B6078" w:rsidRDefault="00EB6078" w:rsidP="001F6F91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B6078" w:rsidRDefault="00EB6078" w:rsidP="001F6F91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B6078" w:rsidRDefault="00EB6078" w:rsidP="001F6F91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B0D23" w:rsidRDefault="006B0D23" w:rsidP="001F6F91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B0D23" w:rsidRDefault="006B0D23" w:rsidP="001F6F91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02C7E" w:rsidRDefault="00402C7E" w:rsidP="001F6F91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B0D23" w:rsidRDefault="006B0D23" w:rsidP="001F6F91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C2583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Trends in the UCITS Market</w:t>
      </w:r>
    </w:p>
    <w:p w:rsidR="001F6F91" w:rsidRPr="008C2583" w:rsidRDefault="001F6F91" w:rsidP="001F6F91">
      <w:pPr>
        <w:pStyle w:val="Footer"/>
        <w:jc w:val="center"/>
        <w:outlineLvl w:val="0"/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C2583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Net Assets by Investment Type</w:t>
      </w:r>
    </w:p>
    <w:p w:rsidR="001F6F91" w:rsidRPr="008C2583" w:rsidRDefault="001F6F91" w:rsidP="001F6F91">
      <w:pPr>
        <w:jc w:val="both"/>
        <w:rPr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16983" w:rsidRPr="00504806" w:rsidRDefault="00504806" w:rsidP="006B0D23">
      <w:pPr>
        <w:jc w:val="both"/>
        <w:rPr>
          <w:color w:val="000000"/>
          <w:sz w:val="22"/>
          <w:szCs w:val="22"/>
        </w:rPr>
      </w:pPr>
      <w:r>
        <w:rPr>
          <w:b/>
          <w:color w:val="0000FF"/>
          <w:sz w:val="22"/>
          <w:szCs w:val="22"/>
        </w:rPr>
        <w:t xml:space="preserve">In the </w:t>
      </w:r>
      <w:r w:rsidR="00B16983">
        <w:rPr>
          <w:b/>
          <w:color w:val="0000FF"/>
          <w:sz w:val="22"/>
          <w:szCs w:val="22"/>
        </w:rPr>
        <w:t xml:space="preserve">first two quarters of </w:t>
      </w:r>
      <w:r>
        <w:rPr>
          <w:b/>
          <w:color w:val="0000FF"/>
          <w:sz w:val="22"/>
          <w:szCs w:val="22"/>
        </w:rPr>
        <w:t>2016, the UCITS market was marked by volatility</w:t>
      </w:r>
      <w:r w:rsidR="00B16983">
        <w:rPr>
          <w:b/>
          <w:color w:val="0000FF"/>
          <w:sz w:val="22"/>
          <w:szCs w:val="22"/>
        </w:rPr>
        <w:t xml:space="preserve"> while the last two quarters saw increasing demand. </w:t>
      </w:r>
      <w:r w:rsidR="00B16983" w:rsidRPr="00B16983">
        <w:rPr>
          <w:color w:val="000000"/>
          <w:sz w:val="22"/>
          <w:szCs w:val="22"/>
        </w:rPr>
        <w:t>After months of net outflows and low demand, equity funds ended the year with two months of modest but positive net inflows.</w:t>
      </w:r>
      <w:r w:rsidR="00B16983">
        <w:rPr>
          <w:b/>
          <w:color w:val="0000FF"/>
          <w:sz w:val="22"/>
          <w:szCs w:val="22"/>
        </w:rPr>
        <w:t xml:space="preserve"> </w:t>
      </w:r>
      <w:r w:rsidR="001F6F91">
        <w:rPr>
          <w:color w:val="000000"/>
          <w:sz w:val="22"/>
          <w:szCs w:val="22"/>
        </w:rPr>
        <w:t xml:space="preserve">Net sales of bond funds saw </w:t>
      </w:r>
      <w:r w:rsidR="0061630C">
        <w:rPr>
          <w:color w:val="000000"/>
          <w:sz w:val="22"/>
          <w:szCs w:val="22"/>
        </w:rPr>
        <w:t>strong demand in the middle of the year, with more volatility in the first a</w:t>
      </w:r>
      <w:r w:rsidR="006B0D23">
        <w:rPr>
          <w:color w:val="000000"/>
          <w:sz w:val="22"/>
          <w:szCs w:val="22"/>
        </w:rPr>
        <w:t xml:space="preserve">nd fourth quarters of the year. Multi-asset funds </w:t>
      </w:r>
      <w:r w:rsidR="00271D82">
        <w:rPr>
          <w:color w:val="000000"/>
          <w:sz w:val="22"/>
          <w:szCs w:val="22"/>
        </w:rPr>
        <w:t xml:space="preserve">also experienced </w:t>
      </w:r>
      <w:r>
        <w:rPr>
          <w:color w:val="000000"/>
          <w:sz w:val="22"/>
          <w:szCs w:val="22"/>
        </w:rPr>
        <w:t>decreased</w:t>
      </w:r>
      <w:r w:rsidR="006B0D23">
        <w:rPr>
          <w:color w:val="000000"/>
          <w:sz w:val="22"/>
          <w:szCs w:val="22"/>
        </w:rPr>
        <w:t xml:space="preserve"> demand in the first and final quarter of the year with relatively sta</w:t>
      </w:r>
      <w:r w:rsidR="00271D82">
        <w:rPr>
          <w:color w:val="000000"/>
          <w:sz w:val="22"/>
          <w:szCs w:val="22"/>
        </w:rPr>
        <w:t>b</w:t>
      </w:r>
      <w:r w:rsidR="006B0D23">
        <w:rPr>
          <w:color w:val="000000"/>
          <w:sz w:val="22"/>
          <w:szCs w:val="22"/>
        </w:rPr>
        <w:t xml:space="preserve">le net sales in Q2 and Q3. </w:t>
      </w:r>
      <w:r w:rsidR="001F6F91">
        <w:rPr>
          <w:color w:val="000000"/>
          <w:sz w:val="22"/>
          <w:szCs w:val="22"/>
        </w:rPr>
        <w:t>Money market funds registered habitual e</w:t>
      </w:r>
      <w:r w:rsidR="006B0D23">
        <w:rPr>
          <w:color w:val="000000"/>
          <w:sz w:val="22"/>
          <w:szCs w:val="22"/>
        </w:rPr>
        <w:t>nd of quarter net outflows during the first two quarters of the year</w:t>
      </w:r>
      <w:r w:rsidR="00271D82">
        <w:rPr>
          <w:color w:val="000000"/>
          <w:sz w:val="22"/>
          <w:szCs w:val="22"/>
        </w:rPr>
        <w:t>,</w:t>
      </w:r>
      <w:r w:rsidR="006B0D23">
        <w:rPr>
          <w:color w:val="000000"/>
          <w:sz w:val="22"/>
          <w:szCs w:val="22"/>
        </w:rPr>
        <w:t xml:space="preserve"> </w:t>
      </w:r>
      <w:r w:rsidR="00271D82">
        <w:rPr>
          <w:color w:val="000000"/>
          <w:sz w:val="22"/>
          <w:szCs w:val="22"/>
        </w:rPr>
        <w:t>whereas the last</w:t>
      </w:r>
      <w:r w:rsidR="006B0D23">
        <w:rPr>
          <w:color w:val="000000"/>
          <w:sz w:val="22"/>
          <w:szCs w:val="22"/>
        </w:rPr>
        <w:t xml:space="preserve"> two quarters </w:t>
      </w:r>
      <w:r w:rsidR="00271D82">
        <w:rPr>
          <w:color w:val="000000"/>
          <w:sz w:val="22"/>
          <w:szCs w:val="22"/>
        </w:rPr>
        <w:t>demonstrated strong demand.</w:t>
      </w:r>
    </w:p>
    <w:p w:rsidR="001F6F91" w:rsidRPr="008C2583" w:rsidRDefault="001F6F91" w:rsidP="00504806">
      <w:pPr>
        <w:pStyle w:val="Footer"/>
        <w:tabs>
          <w:tab w:val="left" w:pos="720"/>
          <w:tab w:val="left" w:pos="4320"/>
        </w:tabs>
        <w:spacing w:line="260" w:lineRule="exact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tabs>
          <w:tab w:val="left" w:pos="72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504806" w:rsidP="001F6F91">
      <w:pPr>
        <w:pStyle w:val="Footer"/>
        <w:tabs>
          <w:tab w:val="left" w:pos="720"/>
          <w:tab w:val="left" w:pos="4320"/>
        </w:tabs>
        <w:spacing w:line="260" w:lineRule="exact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731968" behindDoc="0" locked="0" layoutInCell="1" allowOverlap="1" wp14:anchorId="18875837">
            <wp:simplePos x="0" y="0"/>
            <wp:positionH relativeFrom="column">
              <wp:posOffset>3140710</wp:posOffset>
            </wp:positionH>
            <wp:positionV relativeFrom="page">
              <wp:posOffset>6953885</wp:posOffset>
            </wp:positionV>
            <wp:extent cx="3200400" cy="2087880"/>
            <wp:effectExtent l="0" t="0" r="0" b="762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08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737088" behindDoc="0" locked="0" layoutInCell="1" allowOverlap="1" wp14:anchorId="77513C53">
            <wp:simplePos x="0" y="0"/>
            <wp:positionH relativeFrom="column">
              <wp:posOffset>67945</wp:posOffset>
            </wp:positionH>
            <wp:positionV relativeFrom="page">
              <wp:posOffset>6953250</wp:posOffset>
            </wp:positionV>
            <wp:extent cx="3200400" cy="2087880"/>
            <wp:effectExtent l="0" t="0" r="0" b="762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08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749376" behindDoc="0" locked="0" layoutInCell="1" allowOverlap="1" wp14:anchorId="1A4ACF9D">
            <wp:simplePos x="0" y="0"/>
            <wp:positionH relativeFrom="column">
              <wp:posOffset>3268345</wp:posOffset>
            </wp:positionH>
            <wp:positionV relativeFrom="page">
              <wp:posOffset>4664075</wp:posOffset>
            </wp:positionV>
            <wp:extent cx="3203575" cy="2087880"/>
            <wp:effectExtent l="0" t="0" r="0" b="762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575" cy="208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735040" behindDoc="0" locked="0" layoutInCell="1" allowOverlap="1" wp14:anchorId="088DFC03">
            <wp:simplePos x="0" y="0"/>
            <wp:positionH relativeFrom="column">
              <wp:posOffset>67945</wp:posOffset>
            </wp:positionH>
            <wp:positionV relativeFrom="page">
              <wp:posOffset>4695825</wp:posOffset>
            </wp:positionV>
            <wp:extent cx="3200400" cy="2087880"/>
            <wp:effectExtent l="0" t="0" r="0" b="762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08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732992" behindDoc="0" locked="0" layoutInCell="1" allowOverlap="1" wp14:anchorId="3A8EA154">
            <wp:simplePos x="0" y="0"/>
            <wp:positionH relativeFrom="column">
              <wp:posOffset>-6350</wp:posOffset>
            </wp:positionH>
            <wp:positionV relativeFrom="page">
              <wp:posOffset>2581910</wp:posOffset>
            </wp:positionV>
            <wp:extent cx="3200400" cy="2087880"/>
            <wp:effectExtent l="0" t="0" r="0" b="762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08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748352" behindDoc="0" locked="0" layoutInCell="1" allowOverlap="1" wp14:anchorId="5D9F3DBA">
            <wp:simplePos x="0" y="0"/>
            <wp:positionH relativeFrom="column">
              <wp:posOffset>3140710</wp:posOffset>
            </wp:positionH>
            <wp:positionV relativeFrom="page">
              <wp:posOffset>2577118</wp:posOffset>
            </wp:positionV>
            <wp:extent cx="3203575" cy="2087880"/>
            <wp:effectExtent l="0" t="0" r="0" b="762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575" cy="208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6F91" w:rsidRPr="008C2583" w:rsidRDefault="001F6F91" w:rsidP="001F6F91">
      <w:pPr>
        <w:pStyle w:val="Footer"/>
        <w:tabs>
          <w:tab w:val="left" w:pos="72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tabs>
          <w:tab w:val="left" w:pos="72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tabs>
          <w:tab w:val="left" w:pos="72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tabs>
          <w:tab w:val="left" w:pos="72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tabs>
          <w:tab w:val="left" w:pos="72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tabs>
          <w:tab w:val="left" w:pos="72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tabs>
          <w:tab w:val="left" w:pos="72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tabs>
          <w:tab w:val="left" w:pos="720"/>
          <w:tab w:val="left" w:pos="4320"/>
        </w:tabs>
        <w:spacing w:line="260" w:lineRule="exact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tabs>
          <w:tab w:val="left" w:pos="72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tabs>
          <w:tab w:val="left" w:pos="72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tabs>
          <w:tab w:val="left" w:pos="72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tabs>
          <w:tab w:val="left" w:pos="72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tabs>
          <w:tab w:val="left" w:pos="72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tabs>
          <w:tab w:val="left" w:pos="72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tabs>
          <w:tab w:val="left" w:pos="720"/>
          <w:tab w:val="left" w:pos="4320"/>
        </w:tabs>
        <w:spacing w:line="260" w:lineRule="exact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tabs>
          <w:tab w:val="left" w:pos="72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tabs>
          <w:tab w:val="left" w:pos="72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tabs>
          <w:tab w:val="left" w:pos="72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tabs>
          <w:tab w:val="left" w:pos="72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tabs>
          <w:tab w:val="left" w:pos="72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tabs>
          <w:tab w:val="left" w:pos="720"/>
          <w:tab w:val="left" w:pos="4320"/>
        </w:tabs>
        <w:spacing w:line="260" w:lineRule="exact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tabs>
          <w:tab w:val="left" w:pos="72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tabs>
          <w:tab w:val="left" w:pos="72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tabs>
          <w:tab w:val="left" w:pos="720"/>
          <w:tab w:val="left" w:pos="4320"/>
        </w:tabs>
        <w:spacing w:line="260" w:lineRule="exact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tabs>
          <w:tab w:val="left" w:pos="72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tabs>
          <w:tab w:val="left" w:pos="72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tabs>
          <w:tab w:val="left" w:pos="72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tabs>
          <w:tab w:val="left" w:pos="72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tabs>
          <w:tab w:val="left" w:pos="72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tabs>
          <w:tab w:val="left" w:pos="72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tabs>
          <w:tab w:val="left" w:pos="72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tabs>
          <w:tab w:val="left" w:pos="72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tabs>
          <w:tab w:val="left" w:pos="72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tabs>
          <w:tab w:val="left" w:pos="72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tabs>
          <w:tab w:val="left" w:pos="72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Default="001F6F91" w:rsidP="001F6F91">
      <w:pPr>
        <w:pStyle w:val="Footer"/>
        <w:tabs>
          <w:tab w:val="left" w:pos="72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B0D23" w:rsidRDefault="006B0D23" w:rsidP="001F6F91">
      <w:pPr>
        <w:pStyle w:val="Footer"/>
        <w:tabs>
          <w:tab w:val="left" w:pos="72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D3ABD" w:rsidRDefault="001D3ABD" w:rsidP="001F6F91">
      <w:pPr>
        <w:pStyle w:val="Footer"/>
        <w:tabs>
          <w:tab w:val="left" w:pos="72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D3ABD" w:rsidRPr="008C2583" w:rsidRDefault="001D3ABD" w:rsidP="001F6F91">
      <w:pPr>
        <w:pStyle w:val="Footer"/>
        <w:tabs>
          <w:tab w:val="left" w:pos="72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6F91" w:rsidRPr="008C2583" w:rsidRDefault="001F6F91" w:rsidP="001F6F91">
      <w:pPr>
        <w:pStyle w:val="Footer"/>
        <w:tabs>
          <w:tab w:val="left" w:pos="72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04806" w:rsidRDefault="00504806">
      <w:pPr>
        <w:autoSpaceDE/>
        <w:autoSpaceDN/>
        <w:rPr>
          <w:b/>
          <w:bCs/>
          <w:i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OLE_LINK3"/>
      <w:r>
        <w:rPr>
          <w:b/>
          <w:bCs/>
          <w:i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</w:p>
    <w:p w:rsidR="001D6932" w:rsidRPr="008C2583" w:rsidRDefault="005F2CD7" w:rsidP="005F2CD7">
      <w:pPr>
        <w:pStyle w:val="Footer"/>
        <w:jc w:val="center"/>
        <w:outlineLvl w:val="0"/>
        <w:rPr>
          <w:b/>
          <w:bCs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C2583">
        <w:rPr>
          <w:b/>
          <w:bCs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</w:t>
      </w:r>
      <w:r w:rsidR="001D6932" w:rsidRPr="008C2583">
        <w:rPr>
          <w:b/>
          <w:bCs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ends in the UCITS Market</w:t>
      </w:r>
    </w:p>
    <w:p w:rsidR="00770065" w:rsidRDefault="00770065" w:rsidP="00770065">
      <w:pPr>
        <w:pStyle w:val="Footer"/>
        <w:jc w:val="center"/>
        <w:rPr>
          <w:b/>
          <w:bCs/>
          <w:i/>
          <w:iCs/>
          <w:sz w:val="16"/>
          <w:szCs w:val="16"/>
          <w:lang w:val="en-US"/>
        </w:rPr>
      </w:pPr>
      <w:r w:rsidRPr="008C2583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Net </w:t>
      </w:r>
      <w:r w:rsidR="0074146A" w:rsidRPr="008C2583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Sales by Country of Domiciliation and Investment Type</w:t>
      </w:r>
    </w:p>
    <w:p w:rsidR="001D6932" w:rsidRDefault="001D6932" w:rsidP="00770065">
      <w:pPr>
        <w:spacing w:line="260" w:lineRule="atLeast"/>
        <w:jc w:val="both"/>
        <w:rPr>
          <w:b/>
          <w:color w:val="0000FF"/>
          <w:sz w:val="22"/>
          <w:szCs w:val="22"/>
          <w:lang w:eastAsia="fr-FR"/>
        </w:rPr>
      </w:pPr>
    </w:p>
    <w:p w:rsidR="00221202" w:rsidRDefault="001D3ABD" w:rsidP="00770065">
      <w:pPr>
        <w:spacing w:line="260" w:lineRule="atLeast"/>
        <w:jc w:val="both"/>
        <w:rPr>
          <w:b/>
          <w:color w:val="0000FF"/>
          <w:sz w:val="22"/>
          <w:szCs w:val="22"/>
          <w:lang w:eastAsia="fr-FR"/>
        </w:rPr>
      </w:pPr>
      <w:r>
        <w:rPr>
          <w:b/>
          <w:color w:val="0000FF"/>
          <w:sz w:val="22"/>
          <w:szCs w:val="22"/>
          <w:lang w:eastAsia="fr-FR"/>
        </w:rPr>
        <w:t>Twenty</w:t>
      </w:r>
      <w:r w:rsidR="00031C6F">
        <w:rPr>
          <w:b/>
          <w:color w:val="0000FF"/>
          <w:sz w:val="22"/>
          <w:szCs w:val="22"/>
          <w:lang w:eastAsia="fr-FR"/>
        </w:rPr>
        <w:t xml:space="preserve"> </w:t>
      </w:r>
      <w:r w:rsidR="00656DDE">
        <w:rPr>
          <w:b/>
          <w:color w:val="0000FF"/>
          <w:sz w:val="22"/>
          <w:szCs w:val="22"/>
          <w:lang w:eastAsia="fr-FR"/>
        </w:rPr>
        <w:t>countries registered</w:t>
      </w:r>
      <w:r w:rsidR="00783D39" w:rsidRPr="00783D39">
        <w:rPr>
          <w:b/>
          <w:color w:val="0000FF"/>
          <w:sz w:val="22"/>
          <w:szCs w:val="22"/>
          <w:lang w:eastAsia="fr-FR"/>
        </w:rPr>
        <w:t xml:space="preserve"> net inflows</w:t>
      </w:r>
      <w:r w:rsidR="00000E96">
        <w:rPr>
          <w:b/>
          <w:color w:val="0000FF"/>
          <w:sz w:val="22"/>
          <w:szCs w:val="22"/>
          <w:lang w:eastAsia="fr-FR"/>
        </w:rPr>
        <w:t xml:space="preserve"> into UCITS</w:t>
      </w:r>
      <w:r w:rsidR="00656DDE">
        <w:rPr>
          <w:b/>
          <w:color w:val="0000FF"/>
          <w:sz w:val="22"/>
          <w:szCs w:val="22"/>
          <w:lang w:eastAsia="fr-FR"/>
        </w:rPr>
        <w:t xml:space="preserve"> in </w:t>
      </w:r>
      <w:r w:rsidR="00B9023F">
        <w:rPr>
          <w:b/>
          <w:color w:val="0000FF"/>
          <w:sz w:val="22"/>
          <w:szCs w:val="22"/>
          <w:lang w:eastAsia="fr-FR"/>
        </w:rPr>
        <w:t xml:space="preserve">the </w:t>
      </w:r>
      <w:r>
        <w:rPr>
          <w:b/>
          <w:color w:val="0000FF"/>
          <w:sz w:val="22"/>
          <w:szCs w:val="22"/>
          <w:lang w:eastAsia="fr-FR"/>
        </w:rPr>
        <w:t>fourth</w:t>
      </w:r>
      <w:r w:rsidR="009C5394">
        <w:rPr>
          <w:b/>
          <w:color w:val="0000FF"/>
          <w:sz w:val="22"/>
          <w:szCs w:val="22"/>
          <w:lang w:eastAsia="fr-FR"/>
        </w:rPr>
        <w:t xml:space="preserve"> q</w:t>
      </w:r>
      <w:r w:rsidR="003C70D8">
        <w:rPr>
          <w:b/>
          <w:color w:val="0000FF"/>
          <w:sz w:val="22"/>
          <w:szCs w:val="22"/>
          <w:lang w:eastAsia="fr-FR"/>
        </w:rPr>
        <w:t>uarter</w:t>
      </w:r>
      <w:r w:rsidR="001A17F7">
        <w:rPr>
          <w:b/>
          <w:color w:val="0000FF"/>
          <w:sz w:val="22"/>
          <w:szCs w:val="22"/>
          <w:lang w:eastAsia="fr-FR"/>
        </w:rPr>
        <w:t xml:space="preserve"> of 201</w:t>
      </w:r>
      <w:r w:rsidR="009C5394">
        <w:rPr>
          <w:b/>
          <w:color w:val="0000FF"/>
          <w:sz w:val="22"/>
          <w:szCs w:val="22"/>
          <w:lang w:eastAsia="fr-FR"/>
        </w:rPr>
        <w:t>6</w:t>
      </w:r>
      <w:r w:rsidR="001A17F7">
        <w:rPr>
          <w:b/>
          <w:color w:val="0000FF"/>
          <w:sz w:val="22"/>
          <w:szCs w:val="22"/>
          <w:lang w:eastAsia="fr-FR"/>
        </w:rPr>
        <w:t xml:space="preserve">, </w:t>
      </w:r>
      <w:r w:rsidR="009C5394">
        <w:rPr>
          <w:b/>
          <w:color w:val="0000FF"/>
          <w:sz w:val="22"/>
          <w:szCs w:val="22"/>
          <w:lang w:eastAsia="fr-FR"/>
        </w:rPr>
        <w:t xml:space="preserve">with </w:t>
      </w:r>
      <w:r>
        <w:rPr>
          <w:b/>
          <w:color w:val="0000FF"/>
          <w:sz w:val="22"/>
          <w:szCs w:val="22"/>
          <w:lang w:eastAsia="fr-FR"/>
        </w:rPr>
        <w:t>ten</w:t>
      </w:r>
      <w:r w:rsidR="006A7BBC">
        <w:rPr>
          <w:b/>
          <w:color w:val="0000FF"/>
          <w:sz w:val="22"/>
          <w:szCs w:val="22"/>
          <w:lang w:eastAsia="fr-FR"/>
        </w:rPr>
        <w:t xml:space="preserve"> countries recording net inf</w:t>
      </w:r>
      <w:r w:rsidR="009E04B4">
        <w:rPr>
          <w:b/>
          <w:color w:val="0000FF"/>
          <w:sz w:val="22"/>
          <w:szCs w:val="22"/>
          <w:lang w:eastAsia="fr-FR"/>
        </w:rPr>
        <w:t xml:space="preserve">lows </w:t>
      </w:r>
      <w:r w:rsidR="009C5394">
        <w:rPr>
          <w:b/>
          <w:color w:val="0000FF"/>
          <w:sz w:val="22"/>
          <w:szCs w:val="22"/>
          <w:lang w:eastAsia="fr-FR"/>
        </w:rPr>
        <w:t>above</w:t>
      </w:r>
      <w:r w:rsidR="009E04B4">
        <w:rPr>
          <w:b/>
          <w:color w:val="0000FF"/>
          <w:sz w:val="22"/>
          <w:szCs w:val="22"/>
          <w:lang w:eastAsia="fr-FR"/>
        </w:rPr>
        <w:t xml:space="preserve"> EUR 1 billion.</w:t>
      </w:r>
    </w:p>
    <w:p w:rsidR="00221202" w:rsidRDefault="00221202" w:rsidP="00770065">
      <w:pPr>
        <w:spacing w:line="260" w:lineRule="atLeast"/>
        <w:jc w:val="both"/>
        <w:rPr>
          <w:b/>
          <w:color w:val="0000FF"/>
          <w:sz w:val="22"/>
          <w:szCs w:val="22"/>
          <w:lang w:eastAsia="fr-FR"/>
        </w:rPr>
      </w:pPr>
    </w:p>
    <w:p w:rsidR="00624868" w:rsidRDefault="007C7C22" w:rsidP="00981659">
      <w:pPr>
        <w:spacing w:line="260" w:lineRule="atLeast"/>
        <w:jc w:val="both"/>
        <w:rPr>
          <w:sz w:val="22"/>
          <w:szCs w:val="22"/>
          <w:lang w:eastAsia="fr-FR"/>
        </w:rPr>
      </w:pPr>
      <w:r w:rsidRPr="00A7353F">
        <w:rPr>
          <w:sz w:val="22"/>
          <w:szCs w:val="22"/>
          <w:lang w:eastAsia="fr-FR"/>
        </w:rPr>
        <w:t xml:space="preserve">Among </w:t>
      </w:r>
      <w:r w:rsidR="00207327">
        <w:rPr>
          <w:sz w:val="22"/>
          <w:szCs w:val="22"/>
          <w:lang w:eastAsia="fr-FR"/>
        </w:rPr>
        <w:t>the largest</w:t>
      </w:r>
      <w:r w:rsidR="00000E96">
        <w:rPr>
          <w:sz w:val="22"/>
          <w:szCs w:val="22"/>
          <w:lang w:eastAsia="fr-FR"/>
        </w:rPr>
        <w:t xml:space="preserve"> </w:t>
      </w:r>
      <w:r w:rsidRPr="00E4443A">
        <w:rPr>
          <w:sz w:val="22"/>
          <w:szCs w:val="22"/>
          <w:lang w:eastAsia="fr-FR"/>
        </w:rPr>
        <w:t xml:space="preserve">domiciles, </w:t>
      </w:r>
      <w:r w:rsidR="00214752">
        <w:rPr>
          <w:sz w:val="22"/>
          <w:szCs w:val="22"/>
          <w:lang w:eastAsia="fr-FR"/>
        </w:rPr>
        <w:t>Ireland</w:t>
      </w:r>
      <w:r w:rsidR="00207327">
        <w:rPr>
          <w:sz w:val="22"/>
          <w:szCs w:val="22"/>
          <w:lang w:eastAsia="fr-FR"/>
        </w:rPr>
        <w:t xml:space="preserve"> attracted net sales </w:t>
      </w:r>
      <w:r w:rsidR="00402C7E">
        <w:rPr>
          <w:sz w:val="22"/>
          <w:szCs w:val="22"/>
          <w:lang w:eastAsia="fr-FR"/>
        </w:rPr>
        <w:t>of EUR</w:t>
      </w:r>
      <w:r w:rsidR="005E52A5" w:rsidRPr="00E4443A">
        <w:rPr>
          <w:sz w:val="22"/>
          <w:szCs w:val="22"/>
          <w:lang w:eastAsia="fr-FR"/>
        </w:rPr>
        <w:t xml:space="preserve"> </w:t>
      </w:r>
      <w:r w:rsidR="00214752">
        <w:rPr>
          <w:sz w:val="22"/>
          <w:szCs w:val="22"/>
          <w:lang w:eastAsia="fr-FR"/>
        </w:rPr>
        <w:t>47</w:t>
      </w:r>
      <w:r w:rsidR="00783D39" w:rsidRPr="00E4443A">
        <w:rPr>
          <w:sz w:val="22"/>
          <w:szCs w:val="22"/>
          <w:lang w:eastAsia="fr-FR"/>
        </w:rPr>
        <w:t xml:space="preserve"> billi</w:t>
      </w:r>
      <w:r w:rsidR="00656DDE" w:rsidRPr="00E4443A">
        <w:rPr>
          <w:sz w:val="22"/>
          <w:szCs w:val="22"/>
          <w:lang w:eastAsia="fr-FR"/>
        </w:rPr>
        <w:t>on</w:t>
      </w:r>
      <w:r w:rsidR="00F21A1D" w:rsidRPr="00E4443A">
        <w:rPr>
          <w:sz w:val="22"/>
          <w:szCs w:val="22"/>
          <w:lang w:eastAsia="fr-FR"/>
        </w:rPr>
        <w:t xml:space="preserve"> </w:t>
      </w:r>
      <w:r w:rsidR="00E96BE3">
        <w:rPr>
          <w:sz w:val="22"/>
          <w:szCs w:val="22"/>
          <w:lang w:eastAsia="fr-FR"/>
        </w:rPr>
        <w:t xml:space="preserve">in </w:t>
      </w:r>
      <w:r w:rsidR="00A51CBA">
        <w:rPr>
          <w:sz w:val="22"/>
          <w:szCs w:val="22"/>
          <w:lang w:eastAsia="fr-FR"/>
        </w:rPr>
        <w:t xml:space="preserve">Q4 </w:t>
      </w:r>
      <w:r w:rsidR="004E01AB" w:rsidRPr="00E4443A">
        <w:rPr>
          <w:sz w:val="22"/>
          <w:szCs w:val="22"/>
          <w:lang w:eastAsia="fr-FR"/>
        </w:rPr>
        <w:t>2016</w:t>
      </w:r>
      <w:r w:rsidR="00656DDE" w:rsidRPr="00E4443A">
        <w:rPr>
          <w:sz w:val="22"/>
          <w:szCs w:val="22"/>
          <w:lang w:eastAsia="fr-FR"/>
        </w:rPr>
        <w:t>,</w:t>
      </w:r>
      <w:r w:rsidR="00BD57CB" w:rsidRPr="00E4443A">
        <w:rPr>
          <w:sz w:val="22"/>
          <w:szCs w:val="22"/>
          <w:lang w:eastAsia="fr-FR"/>
        </w:rPr>
        <w:t xml:space="preserve"> </w:t>
      </w:r>
      <w:r w:rsidR="00000E96">
        <w:rPr>
          <w:sz w:val="22"/>
          <w:szCs w:val="22"/>
          <w:lang w:eastAsia="fr-FR"/>
        </w:rPr>
        <w:t>driven by</w:t>
      </w:r>
      <w:r w:rsidR="004E01AB" w:rsidRPr="00E4443A">
        <w:rPr>
          <w:sz w:val="22"/>
          <w:szCs w:val="22"/>
          <w:lang w:eastAsia="fr-FR"/>
        </w:rPr>
        <w:t xml:space="preserve"> strong </w:t>
      </w:r>
      <w:r w:rsidR="00031C6F" w:rsidRPr="00E4443A">
        <w:rPr>
          <w:sz w:val="22"/>
          <w:szCs w:val="22"/>
          <w:lang w:eastAsia="fr-FR"/>
        </w:rPr>
        <w:t xml:space="preserve">net inflows </w:t>
      </w:r>
      <w:r w:rsidR="004E01AB" w:rsidRPr="00E4443A">
        <w:rPr>
          <w:sz w:val="22"/>
          <w:szCs w:val="22"/>
          <w:lang w:eastAsia="fr-FR"/>
        </w:rPr>
        <w:t xml:space="preserve">into </w:t>
      </w:r>
      <w:r w:rsidR="00214752">
        <w:rPr>
          <w:sz w:val="22"/>
          <w:szCs w:val="22"/>
          <w:lang w:eastAsia="fr-FR"/>
        </w:rPr>
        <w:t xml:space="preserve">equity, bond and </w:t>
      </w:r>
      <w:r w:rsidR="009C5394" w:rsidRPr="00E4443A">
        <w:rPr>
          <w:sz w:val="22"/>
          <w:szCs w:val="22"/>
          <w:lang w:eastAsia="fr-FR"/>
        </w:rPr>
        <w:t>mo</w:t>
      </w:r>
      <w:r w:rsidR="00214752">
        <w:rPr>
          <w:sz w:val="22"/>
          <w:szCs w:val="22"/>
          <w:lang w:eastAsia="fr-FR"/>
        </w:rPr>
        <w:t xml:space="preserve">ney market funds. France </w:t>
      </w:r>
      <w:r w:rsidR="00207327">
        <w:rPr>
          <w:sz w:val="22"/>
          <w:szCs w:val="22"/>
          <w:lang w:eastAsia="fr-FR"/>
        </w:rPr>
        <w:t>experienced</w:t>
      </w:r>
      <w:r w:rsidR="009C5394" w:rsidRPr="00E4443A">
        <w:rPr>
          <w:sz w:val="22"/>
          <w:szCs w:val="22"/>
          <w:lang w:eastAsia="fr-FR"/>
        </w:rPr>
        <w:t xml:space="preserve"> net </w:t>
      </w:r>
      <w:r w:rsidR="007C067A">
        <w:rPr>
          <w:sz w:val="22"/>
          <w:szCs w:val="22"/>
          <w:lang w:eastAsia="fr-FR"/>
        </w:rPr>
        <w:t xml:space="preserve">inflows </w:t>
      </w:r>
      <w:r w:rsidR="009C5394" w:rsidRPr="00E4443A">
        <w:rPr>
          <w:sz w:val="22"/>
          <w:szCs w:val="22"/>
          <w:lang w:eastAsia="fr-FR"/>
        </w:rPr>
        <w:t xml:space="preserve">of </w:t>
      </w:r>
      <w:r w:rsidR="003003DC" w:rsidRPr="00E4443A">
        <w:rPr>
          <w:sz w:val="22"/>
          <w:szCs w:val="22"/>
          <w:lang w:eastAsia="fr-FR"/>
        </w:rPr>
        <w:t xml:space="preserve">EUR </w:t>
      </w:r>
      <w:r w:rsidR="00214752">
        <w:rPr>
          <w:sz w:val="22"/>
          <w:szCs w:val="22"/>
          <w:lang w:eastAsia="fr-FR"/>
        </w:rPr>
        <w:t>8</w:t>
      </w:r>
      <w:r w:rsidR="009C5394" w:rsidRPr="00E4443A">
        <w:rPr>
          <w:sz w:val="22"/>
          <w:szCs w:val="22"/>
          <w:lang w:eastAsia="fr-FR"/>
        </w:rPr>
        <w:t xml:space="preserve"> billion</w:t>
      </w:r>
      <w:r w:rsidR="00BC2F1A" w:rsidRPr="00E4443A">
        <w:rPr>
          <w:sz w:val="22"/>
          <w:szCs w:val="22"/>
          <w:lang w:eastAsia="fr-FR"/>
        </w:rPr>
        <w:t xml:space="preserve">, </w:t>
      </w:r>
      <w:r w:rsidR="00207327">
        <w:rPr>
          <w:sz w:val="22"/>
          <w:szCs w:val="22"/>
          <w:lang w:eastAsia="fr-FR"/>
        </w:rPr>
        <w:t xml:space="preserve">mainly </w:t>
      </w:r>
      <w:r w:rsidR="00E837A4">
        <w:rPr>
          <w:sz w:val="22"/>
          <w:szCs w:val="22"/>
          <w:lang w:eastAsia="fr-FR"/>
        </w:rPr>
        <w:t>thanks to</w:t>
      </w:r>
      <w:r w:rsidR="00207327">
        <w:rPr>
          <w:sz w:val="22"/>
          <w:szCs w:val="22"/>
          <w:lang w:eastAsia="fr-FR"/>
        </w:rPr>
        <w:t xml:space="preserve"> bond </w:t>
      </w:r>
      <w:r w:rsidR="00214752">
        <w:rPr>
          <w:sz w:val="22"/>
          <w:szCs w:val="22"/>
          <w:lang w:eastAsia="fr-FR"/>
        </w:rPr>
        <w:t xml:space="preserve">and money market </w:t>
      </w:r>
      <w:r w:rsidR="00207327">
        <w:rPr>
          <w:sz w:val="22"/>
          <w:szCs w:val="22"/>
          <w:lang w:eastAsia="fr-FR"/>
        </w:rPr>
        <w:t>funds</w:t>
      </w:r>
      <w:r w:rsidR="00BC2F1A" w:rsidRPr="00E4443A">
        <w:rPr>
          <w:sz w:val="22"/>
          <w:szCs w:val="22"/>
          <w:lang w:eastAsia="fr-FR"/>
        </w:rPr>
        <w:t>.</w:t>
      </w:r>
      <w:r w:rsidR="00214752">
        <w:rPr>
          <w:sz w:val="22"/>
          <w:szCs w:val="22"/>
          <w:lang w:eastAsia="fr-FR"/>
        </w:rPr>
        <w:t xml:space="preserve"> The UK recorded net sales of EUR 6</w:t>
      </w:r>
      <w:r w:rsidR="00207327">
        <w:rPr>
          <w:sz w:val="22"/>
          <w:szCs w:val="22"/>
          <w:lang w:eastAsia="fr-FR"/>
        </w:rPr>
        <w:t xml:space="preserve"> billion, also due to strong inflows into </w:t>
      </w:r>
      <w:r w:rsidR="00E83DDB">
        <w:rPr>
          <w:sz w:val="22"/>
          <w:szCs w:val="22"/>
          <w:lang w:eastAsia="fr-FR"/>
        </w:rPr>
        <w:t xml:space="preserve">bond, </w:t>
      </w:r>
      <w:r w:rsidR="00207327">
        <w:rPr>
          <w:sz w:val="22"/>
          <w:szCs w:val="22"/>
          <w:lang w:eastAsia="fr-FR"/>
        </w:rPr>
        <w:t>money market</w:t>
      </w:r>
      <w:r w:rsidR="00E83DDB">
        <w:rPr>
          <w:sz w:val="22"/>
          <w:szCs w:val="22"/>
          <w:lang w:eastAsia="fr-FR"/>
        </w:rPr>
        <w:t xml:space="preserve"> and other</w:t>
      </w:r>
      <w:r w:rsidR="00207327">
        <w:rPr>
          <w:sz w:val="22"/>
          <w:szCs w:val="22"/>
          <w:lang w:eastAsia="fr-FR"/>
        </w:rPr>
        <w:t xml:space="preserve"> funds. </w:t>
      </w:r>
      <w:r w:rsidR="00E83DDB">
        <w:rPr>
          <w:sz w:val="22"/>
          <w:szCs w:val="22"/>
          <w:lang w:eastAsia="fr-FR"/>
        </w:rPr>
        <w:t>Germany attracted 4.5 billion in net sales, mostly thanks to strong demand for equity funds.</w:t>
      </w:r>
      <w:r w:rsidR="00504806">
        <w:rPr>
          <w:sz w:val="22"/>
          <w:szCs w:val="22"/>
          <w:lang w:eastAsia="fr-FR"/>
        </w:rPr>
        <w:t xml:space="preserve"> </w:t>
      </w:r>
      <w:r w:rsidR="00313F4F">
        <w:rPr>
          <w:sz w:val="22"/>
          <w:szCs w:val="22"/>
          <w:lang w:eastAsia="fr-FR"/>
        </w:rPr>
        <w:t>Strong net inflows into UCITS fund</w:t>
      </w:r>
      <w:r w:rsidR="00805FBB">
        <w:rPr>
          <w:sz w:val="22"/>
          <w:szCs w:val="22"/>
          <w:lang w:eastAsia="fr-FR"/>
        </w:rPr>
        <w:t xml:space="preserve">s </w:t>
      </w:r>
      <w:r w:rsidR="00487031">
        <w:rPr>
          <w:sz w:val="22"/>
          <w:szCs w:val="22"/>
          <w:lang w:eastAsia="fr-FR"/>
        </w:rPr>
        <w:t xml:space="preserve">were also seen in Italy (EUR 4.1 </w:t>
      </w:r>
      <w:r w:rsidR="00313F4F">
        <w:rPr>
          <w:sz w:val="22"/>
          <w:szCs w:val="22"/>
          <w:lang w:eastAsia="fr-FR"/>
        </w:rPr>
        <w:t>billion),</w:t>
      </w:r>
      <w:r w:rsidR="00E83DDB" w:rsidRPr="00E83DDB">
        <w:rPr>
          <w:sz w:val="22"/>
          <w:szCs w:val="22"/>
          <w:lang w:eastAsia="fr-FR"/>
        </w:rPr>
        <w:t xml:space="preserve"> </w:t>
      </w:r>
      <w:r w:rsidR="00E83DDB">
        <w:rPr>
          <w:sz w:val="22"/>
          <w:szCs w:val="22"/>
          <w:lang w:eastAsia="fr-FR"/>
        </w:rPr>
        <w:t>Sweden</w:t>
      </w:r>
      <w:r w:rsidR="00487031">
        <w:rPr>
          <w:sz w:val="22"/>
          <w:szCs w:val="22"/>
          <w:lang w:eastAsia="fr-FR"/>
        </w:rPr>
        <w:t xml:space="preserve"> (EUR 3.7</w:t>
      </w:r>
      <w:r w:rsidR="00E83DDB">
        <w:rPr>
          <w:sz w:val="22"/>
          <w:szCs w:val="22"/>
          <w:lang w:eastAsia="fr-FR"/>
        </w:rPr>
        <w:t xml:space="preserve"> billion),</w:t>
      </w:r>
      <w:r w:rsidR="00E83DDB" w:rsidRPr="00E83DDB">
        <w:rPr>
          <w:sz w:val="22"/>
          <w:szCs w:val="22"/>
          <w:lang w:eastAsia="fr-FR"/>
        </w:rPr>
        <w:t xml:space="preserve"> </w:t>
      </w:r>
      <w:r w:rsidR="00487031">
        <w:rPr>
          <w:sz w:val="22"/>
          <w:szCs w:val="22"/>
          <w:lang w:eastAsia="fr-FR"/>
        </w:rPr>
        <w:t>Spain (EUR 2.7</w:t>
      </w:r>
      <w:r w:rsidR="00A51CBA">
        <w:rPr>
          <w:sz w:val="22"/>
          <w:szCs w:val="22"/>
          <w:lang w:eastAsia="fr-FR"/>
        </w:rPr>
        <w:t xml:space="preserve"> billion)</w:t>
      </w:r>
      <w:r w:rsidR="00487031">
        <w:rPr>
          <w:sz w:val="22"/>
          <w:szCs w:val="22"/>
          <w:lang w:eastAsia="fr-FR"/>
        </w:rPr>
        <w:t xml:space="preserve"> and Denmark (EUR 2.6 billion).</w:t>
      </w:r>
    </w:p>
    <w:p w:rsidR="00504806" w:rsidRDefault="00504806" w:rsidP="00981659">
      <w:pPr>
        <w:spacing w:line="260" w:lineRule="atLeast"/>
        <w:jc w:val="both"/>
        <w:rPr>
          <w:sz w:val="22"/>
          <w:szCs w:val="22"/>
          <w:lang w:eastAsia="fr-FR"/>
        </w:rPr>
      </w:pPr>
    </w:p>
    <w:p w:rsidR="00504806" w:rsidRDefault="00A047A3" w:rsidP="00981659">
      <w:pPr>
        <w:spacing w:line="260" w:lineRule="atLeast"/>
        <w:jc w:val="both"/>
        <w:rPr>
          <w:sz w:val="22"/>
          <w:szCs w:val="22"/>
          <w:lang w:eastAsia="fr-FR"/>
        </w:rPr>
      </w:pPr>
      <w:r>
        <w:rPr>
          <w:sz w:val="22"/>
          <w:szCs w:val="22"/>
          <w:lang w:eastAsia="fr-FR"/>
        </w:rPr>
        <w:t xml:space="preserve">Five countries ended the year with cumulative net sales greater than EUR 10 billion: </w:t>
      </w:r>
      <w:r w:rsidR="00E837A4">
        <w:rPr>
          <w:sz w:val="22"/>
          <w:szCs w:val="22"/>
          <w:lang w:eastAsia="fr-FR"/>
        </w:rPr>
        <w:t>Ireland (EUR 117 billion), Luxembourg (EUR 73 billion), France (EUR 28</w:t>
      </w:r>
      <w:r w:rsidR="00504806">
        <w:rPr>
          <w:sz w:val="22"/>
          <w:szCs w:val="22"/>
          <w:lang w:eastAsia="fr-FR"/>
        </w:rPr>
        <w:t xml:space="preserve"> billion), Switzerl</w:t>
      </w:r>
      <w:r w:rsidR="00E837A4">
        <w:rPr>
          <w:sz w:val="22"/>
          <w:szCs w:val="22"/>
          <w:lang w:eastAsia="fr-FR"/>
        </w:rPr>
        <w:t>and (EUR 14 billion) and Germany (EUR 13</w:t>
      </w:r>
      <w:r w:rsidR="00504806">
        <w:rPr>
          <w:sz w:val="22"/>
          <w:szCs w:val="22"/>
          <w:lang w:eastAsia="fr-FR"/>
        </w:rPr>
        <w:t xml:space="preserve"> billion). </w:t>
      </w:r>
    </w:p>
    <w:p w:rsidR="00E13EE1" w:rsidRDefault="00E13EE1" w:rsidP="00770065">
      <w:pPr>
        <w:spacing w:line="260" w:lineRule="atLeast"/>
        <w:jc w:val="both"/>
        <w:rPr>
          <w:sz w:val="22"/>
          <w:szCs w:val="22"/>
          <w:lang w:eastAsia="fr-FR"/>
        </w:rPr>
      </w:pPr>
    </w:p>
    <w:p w:rsidR="0037100A" w:rsidRPr="008C2583" w:rsidRDefault="0037100A" w:rsidP="003E2025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A4F4B" w:rsidRPr="008C2583" w:rsidRDefault="00EA1CB6" w:rsidP="008A4F4B">
      <w:pPr>
        <w:pStyle w:val="Footer"/>
        <w:jc w:val="center"/>
        <w:outlineLvl w:val="0"/>
        <w:rPr>
          <w:b/>
          <w:bCs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1CB6">
        <w:rPr>
          <w:noProof/>
          <w:lang w:val="en-US"/>
        </w:rPr>
        <w:drawing>
          <wp:anchor distT="0" distB="0" distL="114300" distR="114300" simplePos="0" relativeHeight="251795456" behindDoc="0" locked="0" layoutInCell="1" allowOverlap="1">
            <wp:simplePos x="0" y="0"/>
            <wp:positionH relativeFrom="column">
              <wp:posOffset>251</wp:posOffset>
            </wp:positionH>
            <wp:positionV relativeFrom="paragraph">
              <wp:posOffset>1875</wp:posOffset>
            </wp:positionV>
            <wp:extent cx="6264000" cy="5785200"/>
            <wp:effectExtent l="0" t="0" r="3810" b="635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000" cy="578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3397" w:rsidRPr="00593397">
        <w:t xml:space="preserve"> </w:t>
      </w:r>
      <w:r w:rsidR="0027129D" w:rsidRPr="008C2583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  <w:r w:rsidR="008A4F4B" w:rsidRPr="008C2583">
        <w:rPr>
          <w:b/>
          <w:bCs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</w:t>
      </w:r>
      <w:r w:rsidR="00E0179D" w:rsidRPr="008C2583">
        <w:rPr>
          <w:b/>
          <w:bCs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ends in </w:t>
      </w:r>
      <w:r w:rsidR="00805FBB" w:rsidRPr="008C2583">
        <w:rPr>
          <w:b/>
          <w:bCs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the UCITS Market</w:t>
      </w:r>
    </w:p>
    <w:p w:rsidR="008A4F4B" w:rsidRDefault="008A4F4B" w:rsidP="008A4F4B">
      <w:pPr>
        <w:pStyle w:val="Footer"/>
        <w:jc w:val="center"/>
        <w:rPr>
          <w:b/>
          <w:bCs/>
          <w:i/>
          <w:iCs/>
          <w:sz w:val="16"/>
          <w:szCs w:val="16"/>
          <w:lang w:val="en-US"/>
        </w:rPr>
      </w:pPr>
      <w:r w:rsidRPr="008C2583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Net Sales </w:t>
      </w:r>
      <w:r w:rsidR="00E0179D" w:rsidRPr="008C2583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and Net Assets</w:t>
      </w:r>
      <w:r w:rsidR="00805FBB" w:rsidRPr="008C2583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of ETF</w:t>
      </w:r>
      <w:r w:rsidR="00E0179D" w:rsidRPr="008C2583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8C2583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by Country of Domiciliation </w:t>
      </w:r>
    </w:p>
    <w:p w:rsidR="008A4F4B" w:rsidRDefault="008A4F4B" w:rsidP="008A4F4B">
      <w:pPr>
        <w:spacing w:line="260" w:lineRule="atLeast"/>
        <w:jc w:val="both"/>
        <w:rPr>
          <w:b/>
          <w:color w:val="0000FF"/>
          <w:sz w:val="22"/>
          <w:szCs w:val="22"/>
          <w:lang w:eastAsia="fr-FR"/>
        </w:rPr>
      </w:pPr>
    </w:p>
    <w:p w:rsidR="008A4F4B" w:rsidRDefault="009A088F" w:rsidP="008A4F4B">
      <w:pPr>
        <w:spacing w:line="260" w:lineRule="atLeast"/>
        <w:jc w:val="both"/>
        <w:rPr>
          <w:b/>
          <w:color w:val="0000FF"/>
          <w:sz w:val="22"/>
          <w:szCs w:val="22"/>
          <w:lang w:eastAsia="fr-FR"/>
        </w:rPr>
      </w:pPr>
      <w:r>
        <w:rPr>
          <w:b/>
          <w:color w:val="0000FF"/>
          <w:sz w:val="22"/>
          <w:szCs w:val="22"/>
          <w:lang w:eastAsia="fr-FR"/>
        </w:rPr>
        <w:t xml:space="preserve">Net </w:t>
      </w:r>
      <w:r w:rsidR="00487031">
        <w:rPr>
          <w:b/>
          <w:color w:val="0000FF"/>
          <w:sz w:val="22"/>
          <w:szCs w:val="22"/>
          <w:lang w:eastAsia="fr-FR"/>
        </w:rPr>
        <w:t>sales of UCITS ETF</w:t>
      </w:r>
      <w:r w:rsidR="005E6B7B">
        <w:rPr>
          <w:b/>
          <w:color w:val="0000FF"/>
          <w:sz w:val="22"/>
          <w:szCs w:val="22"/>
          <w:lang w:eastAsia="fr-FR"/>
        </w:rPr>
        <w:t>s</w:t>
      </w:r>
      <w:r w:rsidR="00487031">
        <w:rPr>
          <w:b/>
          <w:color w:val="0000FF"/>
          <w:sz w:val="22"/>
          <w:szCs w:val="22"/>
          <w:lang w:eastAsia="fr-FR"/>
        </w:rPr>
        <w:t xml:space="preserve"> reached EUR 14.</w:t>
      </w:r>
      <w:r w:rsidR="00A51CBA">
        <w:rPr>
          <w:b/>
          <w:color w:val="0000FF"/>
          <w:sz w:val="22"/>
          <w:szCs w:val="22"/>
          <w:lang w:eastAsia="fr-FR"/>
        </w:rPr>
        <w:t>7</w:t>
      </w:r>
      <w:r w:rsidR="00487031">
        <w:rPr>
          <w:b/>
          <w:color w:val="0000FF"/>
          <w:sz w:val="22"/>
          <w:szCs w:val="22"/>
          <w:lang w:eastAsia="fr-FR"/>
        </w:rPr>
        <w:t xml:space="preserve"> billion in Q4</w:t>
      </w:r>
      <w:r w:rsidR="002319CA">
        <w:rPr>
          <w:b/>
          <w:color w:val="0000FF"/>
          <w:sz w:val="22"/>
          <w:szCs w:val="22"/>
          <w:lang w:eastAsia="fr-FR"/>
        </w:rPr>
        <w:t xml:space="preserve"> 2016</w:t>
      </w:r>
      <w:r w:rsidR="00BB0511">
        <w:rPr>
          <w:b/>
          <w:color w:val="0000FF"/>
          <w:sz w:val="22"/>
          <w:szCs w:val="22"/>
          <w:lang w:eastAsia="fr-FR"/>
        </w:rPr>
        <w:t xml:space="preserve"> and </w:t>
      </w:r>
      <w:r w:rsidR="002319CA">
        <w:rPr>
          <w:b/>
          <w:color w:val="0000FF"/>
          <w:sz w:val="22"/>
          <w:szCs w:val="22"/>
          <w:lang w:eastAsia="fr-FR"/>
        </w:rPr>
        <w:t>EUR 44</w:t>
      </w:r>
      <w:r w:rsidR="00BB0511">
        <w:rPr>
          <w:b/>
          <w:color w:val="0000FF"/>
          <w:sz w:val="22"/>
          <w:szCs w:val="22"/>
          <w:lang w:eastAsia="fr-FR"/>
        </w:rPr>
        <w:t>.0</w:t>
      </w:r>
      <w:r w:rsidR="00AA4105">
        <w:rPr>
          <w:b/>
          <w:color w:val="0000FF"/>
          <w:sz w:val="22"/>
          <w:szCs w:val="22"/>
          <w:lang w:eastAsia="fr-FR"/>
        </w:rPr>
        <w:t xml:space="preserve"> billion in </w:t>
      </w:r>
      <w:r w:rsidR="00A51CBA">
        <w:rPr>
          <w:b/>
          <w:color w:val="0000FF"/>
          <w:sz w:val="22"/>
          <w:szCs w:val="22"/>
          <w:lang w:eastAsia="fr-FR"/>
        </w:rPr>
        <w:t>2016</w:t>
      </w:r>
      <w:r w:rsidR="00AA4105">
        <w:rPr>
          <w:b/>
          <w:color w:val="0000FF"/>
          <w:sz w:val="22"/>
          <w:szCs w:val="22"/>
          <w:lang w:eastAsia="fr-FR"/>
        </w:rPr>
        <w:t>.</w:t>
      </w:r>
      <w:r w:rsidR="00010F20">
        <w:rPr>
          <w:rStyle w:val="FootnoteReference"/>
          <w:b/>
          <w:color w:val="0000FF"/>
          <w:sz w:val="22"/>
          <w:szCs w:val="22"/>
          <w:lang w:eastAsia="fr-FR"/>
        </w:rPr>
        <w:footnoteReference w:id="1"/>
      </w:r>
    </w:p>
    <w:p w:rsidR="008A4F4B" w:rsidRDefault="008A4F4B" w:rsidP="008A4F4B">
      <w:pPr>
        <w:spacing w:line="260" w:lineRule="atLeast"/>
        <w:jc w:val="both"/>
        <w:rPr>
          <w:b/>
          <w:color w:val="0000FF"/>
          <w:sz w:val="22"/>
          <w:szCs w:val="22"/>
          <w:lang w:eastAsia="fr-FR"/>
        </w:rPr>
      </w:pPr>
    </w:p>
    <w:p w:rsidR="00D408E8" w:rsidRDefault="002319CA" w:rsidP="00816BD4">
      <w:pPr>
        <w:spacing w:line="260" w:lineRule="atLeast"/>
        <w:jc w:val="both"/>
        <w:rPr>
          <w:sz w:val="22"/>
          <w:szCs w:val="22"/>
          <w:lang w:eastAsia="fr-FR"/>
        </w:rPr>
      </w:pPr>
      <w:r>
        <w:rPr>
          <w:sz w:val="22"/>
          <w:szCs w:val="22"/>
          <w:lang w:eastAsia="fr-FR"/>
        </w:rPr>
        <w:t>UCITS</w:t>
      </w:r>
      <w:r w:rsidR="009A088F">
        <w:rPr>
          <w:sz w:val="22"/>
          <w:szCs w:val="22"/>
          <w:lang w:eastAsia="fr-FR"/>
        </w:rPr>
        <w:t xml:space="preserve"> ETF </w:t>
      </w:r>
      <w:r w:rsidR="00EA3C7B">
        <w:rPr>
          <w:sz w:val="22"/>
          <w:szCs w:val="22"/>
          <w:lang w:eastAsia="fr-FR"/>
        </w:rPr>
        <w:t>domiciled in Ireland</w:t>
      </w:r>
      <w:r w:rsidR="009A088F">
        <w:rPr>
          <w:sz w:val="22"/>
          <w:szCs w:val="22"/>
          <w:lang w:eastAsia="fr-FR"/>
        </w:rPr>
        <w:t xml:space="preserve"> registered</w:t>
      </w:r>
      <w:r w:rsidR="00B32A53">
        <w:rPr>
          <w:sz w:val="22"/>
          <w:szCs w:val="22"/>
          <w:lang w:eastAsia="fr-FR"/>
        </w:rPr>
        <w:t xml:space="preserve"> the largest in</w:t>
      </w:r>
      <w:r>
        <w:rPr>
          <w:sz w:val="22"/>
          <w:szCs w:val="22"/>
          <w:lang w:eastAsia="fr-FR"/>
        </w:rPr>
        <w:t>fl</w:t>
      </w:r>
      <w:r w:rsidR="00A51CBA">
        <w:rPr>
          <w:sz w:val="22"/>
          <w:szCs w:val="22"/>
          <w:lang w:eastAsia="fr-FR"/>
        </w:rPr>
        <w:t>ows during the quarter (EUR 8.2</w:t>
      </w:r>
      <w:r w:rsidR="00B32A53">
        <w:rPr>
          <w:sz w:val="22"/>
          <w:szCs w:val="22"/>
          <w:lang w:eastAsia="fr-FR"/>
        </w:rPr>
        <w:t xml:space="preserve"> billion)</w:t>
      </w:r>
      <w:r w:rsidR="00A51CBA">
        <w:rPr>
          <w:sz w:val="22"/>
          <w:szCs w:val="22"/>
          <w:lang w:eastAsia="fr-FR"/>
        </w:rPr>
        <w:t>,</w:t>
      </w:r>
      <w:r w:rsidR="00B32A53">
        <w:rPr>
          <w:sz w:val="22"/>
          <w:szCs w:val="22"/>
          <w:lang w:eastAsia="fr-FR"/>
        </w:rPr>
        <w:t xml:space="preserve"> reflect</w:t>
      </w:r>
      <w:r w:rsidR="00406284">
        <w:rPr>
          <w:sz w:val="22"/>
          <w:szCs w:val="22"/>
          <w:lang w:eastAsia="fr-FR"/>
        </w:rPr>
        <w:t>ing the size of their ETF market</w:t>
      </w:r>
      <w:r w:rsidR="00A51CBA">
        <w:rPr>
          <w:sz w:val="22"/>
          <w:szCs w:val="22"/>
          <w:lang w:eastAsia="fr-FR"/>
        </w:rPr>
        <w:t>, followed by France (EUR 3.8 billion) and Germany (EUR 2</w:t>
      </w:r>
      <w:r>
        <w:rPr>
          <w:sz w:val="22"/>
          <w:szCs w:val="22"/>
          <w:lang w:eastAsia="fr-FR"/>
        </w:rPr>
        <w:t>.7 billion)</w:t>
      </w:r>
      <w:r w:rsidR="00406284">
        <w:rPr>
          <w:sz w:val="22"/>
          <w:szCs w:val="22"/>
          <w:lang w:eastAsia="fr-FR"/>
        </w:rPr>
        <w:t>.</w:t>
      </w:r>
      <w:r w:rsidR="00A51CBA">
        <w:rPr>
          <w:sz w:val="22"/>
          <w:szCs w:val="22"/>
          <w:lang w:eastAsia="fr-FR"/>
        </w:rPr>
        <w:t xml:space="preserve"> </w:t>
      </w:r>
      <w:r w:rsidR="00BB0511">
        <w:rPr>
          <w:sz w:val="22"/>
          <w:szCs w:val="22"/>
          <w:lang w:eastAsia="fr-FR"/>
        </w:rPr>
        <w:t xml:space="preserve"> I</w:t>
      </w:r>
      <w:r w:rsidR="00B16EB4">
        <w:rPr>
          <w:sz w:val="22"/>
          <w:szCs w:val="22"/>
          <w:lang w:eastAsia="fr-FR"/>
        </w:rPr>
        <w:t>n 2016</w:t>
      </w:r>
      <w:r w:rsidR="00406284">
        <w:rPr>
          <w:sz w:val="22"/>
          <w:szCs w:val="22"/>
          <w:lang w:eastAsia="fr-FR"/>
        </w:rPr>
        <w:t xml:space="preserve">, Ireland </w:t>
      </w:r>
      <w:r>
        <w:rPr>
          <w:sz w:val="22"/>
          <w:szCs w:val="22"/>
          <w:lang w:eastAsia="fr-FR"/>
        </w:rPr>
        <w:t>attracted the largest net inflows (EUR 40.9</w:t>
      </w:r>
      <w:r w:rsidR="00B32A53">
        <w:rPr>
          <w:sz w:val="22"/>
          <w:szCs w:val="22"/>
          <w:lang w:eastAsia="fr-FR"/>
        </w:rPr>
        <w:t xml:space="preserve"> billion)</w:t>
      </w:r>
      <w:r>
        <w:rPr>
          <w:sz w:val="22"/>
          <w:szCs w:val="22"/>
          <w:lang w:eastAsia="fr-FR"/>
        </w:rPr>
        <w:t xml:space="preserve">, followed by France (EUR 2.9 billion). </w:t>
      </w:r>
    </w:p>
    <w:p w:rsidR="00D408E8" w:rsidRDefault="00D408E8" w:rsidP="00816BD4">
      <w:pPr>
        <w:spacing w:line="260" w:lineRule="atLeast"/>
        <w:jc w:val="both"/>
        <w:rPr>
          <w:sz w:val="22"/>
          <w:szCs w:val="22"/>
          <w:lang w:eastAsia="fr-FR"/>
        </w:rPr>
      </w:pPr>
    </w:p>
    <w:p w:rsidR="00B32A53" w:rsidRDefault="00B13EA3" w:rsidP="00816BD4">
      <w:pPr>
        <w:spacing w:line="260" w:lineRule="atLeast"/>
        <w:jc w:val="both"/>
        <w:rPr>
          <w:sz w:val="22"/>
          <w:szCs w:val="22"/>
          <w:lang w:eastAsia="fr-FR"/>
        </w:rPr>
      </w:pPr>
      <w:r>
        <w:rPr>
          <w:sz w:val="22"/>
          <w:szCs w:val="22"/>
          <w:lang w:eastAsia="fr-FR"/>
        </w:rPr>
        <w:t>For the group</w:t>
      </w:r>
      <w:r w:rsidR="00D900AE">
        <w:rPr>
          <w:sz w:val="22"/>
          <w:szCs w:val="22"/>
          <w:lang w:eastAsia="fr-FR"/>
        </w:rPr>
        <w:t xml:space="preserve"> of countries reporting net sales of ETF, the total net sales of ETF in 2016 represented 2</w:t>
      </w:r>
      <w:r>
        <w:rPr>
          <w:sz w:val="22"/>
          <w:szCs w:val="22"/>
          <w:lang w:eastAsia="fr-FR"/>
        </w:rPr>
        <w:t>5</w:t>
      </w:r>
      <w:r w:rsidR="00D900AE">
        <w:rPr>
          <w:sz w:val="22"/>
          <w:szCs w:val="22"/>
          <w:lang w:eastAsia="fr-FR"/>
        </w:rPr>
        <w:t xml:space="preserve">% of </w:t>
      </w:r>
      <w:r>
        <w:rPr>
          <w:sz w:val="22"/>
          <w:szCs w:val="22"/>
          <w:lang w:eastAsia="fr-FR"/>
        </w:rPr>
        <w:t>their total</w:t>
      </w:r>
      <w:r w:rsidR="00D900AE">
        <w:rPr>
          <w:sz w:val="22"/>
          <w:szCs w:val="22"/>
          <w:lang w:eastAsia="fr-FR"/>
        </w:rPr>
        <w:t xml:space="preserve"> net sales of UCITS. In Ireland,</w:t>
      </w:r>
      <w:r w:rsidR="00D408E8">
        <w:rPr>
          <w:sz w:val="22"/>
          <w:szCs w:val="22"/>
          <w:lang w:eastAsia="fr-FR"/>
        </w:rPr>
        <w:t xml:space="preserve"> the share of ETF represented 35</w:t>
      </w:r>
      <w:r w:rsidR="00D900AE">
        <w:rPr>
          <w:sz w:val="22"/>
          <w:szCs w:val="22"/>
          <w:lang w:eastAsia="fr-FR"/>
        </w:rPr>
        <w:t>%</w:t>
      </w:r>
      <w:bookmarkStart w:id="1" w:name="_GoBack"/>
      <w:bookmarkEnd w:id="1"/>
      <w:r w:rsidR="00D900AE">
        <w:rPr>
          <w:sz w:val="22"/>
          <w:szCs w:val="22"/>
          <w:lang w:eastAsia="fr-FR"/>
        </w:rPr>
        <w:t xml:space="preserve"> of the total net sales of UCITS.</w:t>
      </w:r>
    </w:p>
    <w:p w:rsidR="00BB0511" w:rsidRDefault="00BB0511" w:rsidP="00816BD4">
      <w:pPr>
        <w:spacing w:line="260" w:lineRule="atLeast"/>
        <w:jc w:val="both"/>
        <w:rPr>
          <w:sz w:val="22"/>
          <w:szCs w:val="22"/>
          <w:lang w:eastAsia="fr-FR"/>
        </w:rPr>
      </w:pPr>
    </w:p>
    <w:p w:rsidR="00D408E8" w:rsidRDefault="00D408E8" w:rsidP="00816BD4">
      <w:pPr>
        <w:spacing w:line="260" w:lineRule="atLeast"/>
        <w:jc w:val="both"/>
        <w:rPr>
          <w:sz w:val="22"/>
          <w:szCs w:val="22"/>
          <w:lang w:eastAsia="fr-FR"/>
        </w:rPr>
      </w:pPr>
    </w:p>
    <w:p w:rsidR="00A80A41" w:rsidRPr="008C2583" w:rsidRDefault="00D408E8" w:rsidP="008A4F4B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val="en-US"/>
        </w:rPr>
        <w:drawing>
          <wp:anchor distT="0" distB="0" distL="114300" distR="114300" simplePos="0" relativeHeight="251821056" behindDoc="0" locked="0" layoutInCell="1" allowOverlap="1" wp14:anchorId="5533C340">
            <wp:simplePos x="0" y="0"/>
            <wp:positionH relativeFrom="column">
              <wp:posOffset>962025</wp:posOffset>
            </wp:positionH>
            <wp:positionV relativeFrom="page">
              <wp:posOffset>6031865</wp:posOffset>
            </wp:positionV>
            <wp:extent cx="4517390" cy="3063240"/>
            <wp:effectExtent l="0" t="0" r="0" b="381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390" cy="3063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3F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875665</wp:posOffset>
                </wp:positionH>
                <wp:positionV relativeFrom="paragraph">
                  <wp:posOffset>6240780</wp:posOffset>
                </wp:positionV>
                <wp:extent cx="4866640" cy="20066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6640" cy="200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5B4" w:rsidRPr="00E755B4" w:rsidRDefault="00A92079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</w:t>
                            </w:r>
                            <w:r w:rsidR="00E755B4" w:rsidRPr="00E755B4">
                              <w:rPr>
                                <w:sz w:val="16"/>
                              </w:rPr>
                              <w:t>*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="00E755B4" w:rsidRPr="00E755B4">
                              <w:rPr>
                                <w:sz w:val="16"/>
                              </w:rPr>
                              <w:t>Both UCITS and UCITS ETF data exclude net sale</w:t>
                            </w:r>
                            <w:r w:rsidR="00E755B4">
                              <w:rPr>
                                <w:sz w:val="16"/>
                              </w:rPr>
                              <w:t>s</w:t>
                            </w:r>
                            <w:r w:rsidR="00E755B4" w:rsidRPr="00E755B4">
                              <w:rPr>
                                <w:sz w:val="16"/>
                              </w:rPr>
                              <w:t xml:space="preserve"> of </w:t>
                            </w:r>
                            <w:r w:rsidR="00E755B4">
                              <w:rPr>
                                <w:sz w:val="16"/>
                              </w:rPr>
                              <w:t>funds domiciled in Luxembourg.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5" type="#_x0000_t202" style="position:absolute;left:0;text-align:left;margin-left:68.95pt;margin-top:491.4pt;width:383.2pt;height:15.8pt;z-index:251820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" filled="f" stroked="f" strokeweight=".5pt">
                <v:textbox>
                  <w:txbxContent>
                    <w:p w:rsidR="00E755B4" w:rsidRPr="00E755B4" w:rsidRDefault="00A92079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</w:t>
                      </w:r>
                      <w:r w:rsidR="00E755B4" w:rsidRPr="00E755B4">
                        <w:rPr>
                          <w:sz w:val="16"/>
                        </w:rPr>
                        <w:t>*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 w:rsidR="00E755B4" w:rsidRPr="00E755B4">
                        <w:rPr>
                          <w:sz w:val="16"/>
                        </w:rPr>
                        <w:t>Both UCITS and UCITS ETF data exclude net sale</w:t>
                      </w:r>
                      <w:r w:rsidR="00E755B4">
                        <w:rPr>
                          <w:sz w:val="16"/>
                        </w:rPr>
                        <w:t>s</w:t>
                      </w:r>
                      <w:r w:rsidR="00E755B4" w:rsidRPr="00E755B4">
                        <w:rPr>
                          <w:sz w:val="16"/>
                        </w:rPr>
                        <w:t xml:space="preserve"> of </w:t>
                      </w:r>
                      <w:r w:rsidR="00E755B4">
                        <w:rPr>
                          <w:sz w:val="16"/>
                        </w:rPr>
                        <w:t>funds domiciled in Luxembourg.</w:t>
                      </w:r>
                    </w:p>
                  </w:txbxContent>
                </v:textbox>
              </v:shape>
            </w:pict>
          </mc:Fallback>
        </mc:AlternateContent>
      </w:r>
      <w:r w:rsidR="006A43FC" w:rsidRPr="00EA1CB6">
        <w:rPr>
          <w:noProof/>
          <w:lang w:val="en-US"/>
        </w:rPr>
        <w:drawing>
          <wp:anchor distT="0" distB="0" distL="114300" distR="114300" simplePos="0" relativeHeight="251796480" behindDoc="0" locked="0" layoutInCell="1" allowOverlap="1">
            <wp:simplePos x="0" y="0"/>
            <wp:positionH relativeFrom="column">
              <wp:posOffset>961390</wp:posOffset>
            </wp:positionH>
            <wp:positionV relativeFrom="line">
              <wp:posOffset>6985</wp:posOffset>
            </wp:positionV>
            <wp:extent cx="4514850" cy="3001645"/>
            <wp:effectExtent l="0" t="0" r="0" b="8255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00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4F4B" w:rsidRPr="008C2583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  <w:r w:rsidR="00A80A41" w:rsidRPr="008C2583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Trends in the UCITS Market</w:t>
      </w:r>
    </w:p>
    <w:p w:rsidR="00A80A41" w:rsidRPr="008C2583" w:rsidRDefault="00A80A41" w:rsidP="00104F7D">
      <w:pPr>
        <w:pStyle w:val="Footer"/>
        <w:jc w:val="center"/>
        <w:outlineLvl w:val="0"/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C2583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Net Assets by Investment Type</w:t>
      </w:r>
    </w:p>
    <w:p w:rsidR="00A80A41" w:rsidRDefault="00A80A41" w:rsidP="00A80A41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</w:p>
    <w:p w:rsidR="005F3159" w:rsidRDefault="005F3159" w:rsidP="00F54A67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color w:val="0000FF"/>
          <w:sz w:val="22"/>
          <w:szCs w:val="22"/>
          <w:lang w:val="en-US"/>
        </w:rPr>
      </w:pPr>
      <w:r>
        <w:rPr>
          <w:b/>
          <w:color w:val="0000FF"/>
          <w:sz w:val="22"/>
          <w:szCs w:val="22"/>
          <w:lang w:val="en-US"/>
        </w:rPr>
        <w:t xml:space="preserve">UCITS </w:t>
      </w:r>
      <w:r w:rsidR="00697ABF">
        <w:rPr>
          <w:b/>
          <w:color w:val="0000FF"/>
          <w:sz w:val="22"/>
          <w:szCs w:val="22"/>
          <w:lang w:val="en-US"/>
        </w:rPr>
        <w:t xml:space="preserve">net assets </w:t>
      </w:r>
      <w:r w:rsidR="003E14E8">
        <w:rPr>
          <w:b/>
          <w:color w:val="0000FF"/>
          <w:sz w:val="22"/>
          <w:szCs w:val="22"/>
          <w:lang w:val="en-US"/>
        </w:rPr>
        <w:t>increased by 3.2</w:t>
      </w:r>
      <w:r w:rsidR="007F562C">
        <w:rPr>
          <w:b/>
          <w:color w:val="0000FF"/>
          <w:sz w:val="22"/>
          <w:szCs w:val="22"/>
          <w:lang w:val="en-US"/>
        </w:rPr>
        <w:t xml:space="preserve"> percent</w:t>
      </w:r>
      <w:r w:rsidR="000B6767">
        <w:rPr>
          <w:b/>
          <w:color w:val="0000FF"/>
          <w:sz w:val="22"/>
          <w:szCs w:val="22"/>
          <w:lang w:val="en-US"/>
        </w:rPr>
        <w:t xml:space="preserve"> </w:t>
      </w:r>
      <w:r w:rsidR="00FA6944">
        <w:rPr>
          <w:b/>
          <w:color w:val="0000FF"/>
          <w:sz w:val="22"/>
          <w:szCs w:val="22"/>
          <w:lang w:val="en-US"/>
        </w:rPr>
        <w:t xml:space="preserve">in </w:t>
      </w:r>
      <w:r w:rsidR="00831CEF">
        <w:rPr>
          <w:b/>
          <w:color w:val="0000FF"/>
          <w:sz w:val="22"/>
          <w:szCs w:val="22"/>
          <w:lang w:val="en-US"/>
        </w:rPr>
        <w:t>Q</w:t>
      </w:r>
      <w:r w:rsidR="00A00F2E">
        <w:rPr>
          <w:b/>
          <w:color w:val="0000FF"/>
          <w:sz w:val="22"/>
          <w:szCs w:val="22"/>
          <w:lang w:val="en-US"/>
        </w:rPr>
        <w:t>4</w:t>
      </w:r>
      <w:r w:rsidR="002F3D2B">
        <w:rPr>
          <w:b/>
          <w:color w:val="0000FF"/>
          <w:sz w:val="22"/>
          <w:szCs w:val="22"/>
          <w:lang w:val="en-US"/>
        </w:rPr>
        <w:t xml:space="preserve"> 2016 </w:t>
      </w:r>
      <w:r w:rsidR="00DC5E43">
        <w:rPr>
          <w:b/>
          <w:color w:val="0000FF"/>
          <w:sz w:val="22"/>
          <w:szCs w:val="22"/>
          <w:lang w:val="en-US"/>
        </w:rPr>
        <w:t xml:space="preserve">to reach </w:t>
      </w:r>
      <w:r w:rsidR="001D64CB">
        <w:rPr>
          <w:b/>
          <w:color w:val="0000FF"/>
          <w:sz w:val="22"/>
          <w:szCs w:val="22"/>
          <w:lang w:val="en-US"/>
        </w:rPr>
        <w:t xml:space="preserve">EUR </w:t>
      </w:r>
      <w:r w:rsidR="00A00F2E">
        <w:rPr>
          <w:b/>
          <w:color w:val="0000FF"/>
          <w:sz w:val="22"/>
          <w:szCs w:val="22"/>
          <w:lang w:val="en-US"/>
        </w:rPr>
        <w:t>8,658</w:t>
      </w:r>
      <w:r w:rsidR="001D64CB">
        <w:rPr>
          <w:b/>
          <w:color w:val="0000FF"/>
          <w:sz w:val="22"/>
          <w:szCs w:val="22"/>
          <w:lang w:val="en-US"/>
        </w:rPr>
        <w:t xml:space="preserve"> </w:t>
      </w:r>
      <w:r w:rsidR="000B6767">
        <w:rPr>
          <w:b/>
          <w:color w:val="0000FF"/>
          <w:sz w:val="22"/>
          <w:szCs w:val="22"/>
          <w:lang w:val="en-US"/>
        </w:rPr>
        <w:t>b</w:t>
      </w:r>
      <w:r w:rsidR="000D2E16">
        <w:rPr>
          <w:b/>
          <w:color w:val="0000FF"/>
          <w:sz w:val="22"/>
          <w:szCs w:val="22"/>
          <w:lang w:val="en-US"/>
        </w:rPr>
        <w:t>illion</w:t>
      </w:r>
      <w:r w:rsidR="00A00F2E">
        <w:rPr>
          <w:b/>
          <w:color w:val="0000FF"/>
          <w:sz w:val="22"/>
          <w:szCs w:val="22"/>
          <w:lang w:val="en-US"/>
        </w:rPr>
        <w:t xml:space="preserve"> at end 2016</w:t>
      </w:r>
      <w:r w:rsidR="00130439">
        <w:rPr>
          <w:b/>
          <w:color w:val="0000FF"/>
          <w:sz w:val="22"/>
          <w:szCs w:val="22"/>
          <w:lang w:val="en-US"/>
        </w:rPr>
        <w:t>.</w:t>
      </w:r>
      <w:r w:rsidR="009D5D6A">
        <w:rPr>
          <w:b/>
          <w:color w:val="0000FF"/>
          <w:sz w:val="22"/>
          <w:szCs w:val="22"/>
          <w:lang w:val="en-US"/>
        </w:rPr>
        <w:t xml:space="preserve"> </w:t>
      </w:r>
    </w:p>
    <w:p w:rsidR="00221202" w:rsidRDefault="00221202" w:rsidP="00F54A67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color w:val="0000FF"/>
          <w:sz w:val="22"/>
          <w:szCs w:val="22"/>
          <w:lang w:val="en-US"/>
        </w:rPr>
      </w:pPr>
    </w:p>
    <w:p w:rsidR="00A7658E" w:rsidRDefault="0060036C" w:rsidP="00F54A67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All categories of</w:t>
      </w:r>
      <w:r w:rsidR="007F66FE">
        <w:rPr>
          <w:color w:val="000000"/>
          <w:sz w:val="22"/>
          <w:szCs w:val="22"/>
          <w:lang w:val="en-US"/>
        </w:rPr>
        <w:t xml:space="preserve"> </w:t>
      </w:r>
      <w:r w:rsidR="00DC5E43">
        <w:rPr>
          <w:color w:val="000000"/>
          <w:sz w:val="22"/>
          <w:szCs w:val="22"/>
          <w:lang w:val="en-US"/>
        </w:rPr>
        <w:t xml:space="preserve">UCITS </w:t>
      </w:r>
      <w:r>
        <w:rPr>
          <w:color w:val="000000"/>
          <w:sz w:val="22"/>
          <w:szCs w:val="22"/>
          <w:lang w:val="en-US"/>
        </w:rPr>
        <w:t xml:space="preserve">funds experienced </w:t>
      </w:r>
      <w:r w:rsidR="00DC5E43">
        <w:rPr>
          <w:color w:val="000000"/>
          <w:sz w:val="22"/>
          <w:szCs w:val="22"/>
          <w:lang w:val="en-US"/>
        </w:rPr>
        <w:t>a</w:t>
      </w:r>
      <w:r w:rsidR="007F66FE">
        <w:rPr>
          <w:color w:val="000000"/>
          <w:sz w:val="22"/>
          <w:szCs w:val="22"/>
          <w:lang w:val="en-US"/>
        </w:rPr>
        <w:t>n increase</w:t>
      </w:r>
      <w:r w:rsidR="008C40CE">
        <w:rPr>
          <w:color w:val="000000"/>
          <w:sz w:val="22"/>
          <w:szCs w:val="22"/>
          <w:lang w:val="en-US"/>
        </w:rPr>
        <w:t xml:space="preserve"> in net assets in</w:t>
      </w:r>
      <w:r w:rsidR="00A00F2E">
        <w:rPr>
          <w:color w:val="000000"/>
          <w:sz w:val="22"/>
          <w:szCs w:val="22"/>
          <w:lang w:val="en-US"/>
        </w:rPr>
        <w:t xml:space="preserve"> 2016</w:t>
      </w:r>
      <w:r>
        <w:rPr>
          <w:color w:val="000000"/>
          <w:sz w:val="22"/>
          <w:szCs w:val="22"/>
          <w:lang w:val="en-US"/>
        </w:rPr>
        <w:t>.</w:t>
      </w:r>
      <w:r w:rsidR="003117F0">
        <w:rPr>
          <w:color w:val="000000"/>
          <w:sz w:val="22"/>
          <w:szCs w:val="22"/>
          <w:lang w:val="en-US"/>
        </w:rPr>
        <w:t xml:space="preserve"> </w:t>
      </w:r>
      <w:r w:rsidR="00EC4975">
        <w:rPr>
          <w:color w:val="000000"/>
          <w:sz w:val="22"/>
          <w:szCs w:val="22"/>
          <w:lang w:val="en-US"/>
        </w:rPr>
        <w:t xml:space="preserve">Equity and </w:t>
      </w:r>
      <w:r w:rsidR="00B16EB4">
        <w:rPr>
          <w:color w:val="000000"/>
          <w:sz w:val="22"/>
          <w:szCs w:val="22"/>
          <w:lang w:val="en-US"/>
        </w:rPr>
        <w:t>money market</w:t>
      </w:r>
      <w:r w:rsidR="00EC4975">
        <w:rPr>
          <w:color w:val="000000"/>
          <w:sz w:val="22"/>
          <w:szCs w:val="22"/>
          <w:lang w:val="en-US"/>
        </w:rPr>
        <w:t xml:space="preserve"> funds both recorded</w:t>
      </w:r>
      <w:r w:rsidR="00A00F2E">
        <w:rPr>
          <w:color w:val="000000"/>
          <w:sz w:val="22"/>
          <w:szCs w:val="22"/>
          <w:lang w:val="en-US"/>
        </w:rPr>
        <w:t xml:space="preserve"> in</w:t>
      </w:r>
      <w:r w:rsidR="00EC4975">
        <w:rPr>
          <w:color w:val="000000"/>
          <w:sz w:val="22"/>
          <w:szCs w:val="22"/>
          <w:lang w:val="en-US"/>
        </w:rPr>
        <w:t>crea</w:t>
      </w:r>
      <w:r w:rsidR="008C40CE">
        <w:rPr>
          <w:color w:val="000000"/>
          <w:sz w:val="22"/>
          <w:szCs w:val="22"/>
          <w:lang w:val="en-US"/>
        </w:rPr>
        <w:t>ses of 5.2 percent</w:t>
      </w:r>
      <w:r w:rsidR="00A00F2E">
        <w:rPr>
          <w:color w:val="000000"/>
          <w:sz w:val="22"/>
          <w:szCs w:val="22"/>
          <w:lang w:val="en-US"/>
        </w:rPr>
        <w:t>. Net assets of multi-asset funds increased by 2.5 percent</w:t>
      </w:r>
      <w:r w:rsidR="00EC4975">
        <w:rPr>
          <w:color w:val="000000"/>
          <w:sz w:val="22"/>
          <w:szCs w:val="22"/>
          <w:lang w:val="en-US"/>
        </w:rPr>
        <w:t>,</w:t>
      </w:r>
      <w:r w:rsidR="00A00F2E">
        <w:rPr>
          <w:color w:val="000000"/>
          <w:sz w:val="22"/>
          <w:szCs w:val="22"/>
          <w:lang w:val="en-US"/>
        </w:rPr>
        <w:t xml:space="preserve"> followed by other funds (2.3%), bond funds (0.5%) and guaranteed funds (0.4%). </w:t>
      </w:r>
      <w:r w:rsidR="00EC4975">
        <w:rPr>
          <w:color w:val="000000"/>
          <w:sz w:val="22"/>
          <w:szCs w:val="22"/>
          <w:lang w:val="en-US"/>
        </w:rPr>
        <w:t xml:space="preserve">In terms of annual growth, the mainstream categories </w:t>
      </w:r>
      <w:r w:rsidR="00B16EB4">
        <w:rPr>
          <w:color w:val="000000"/>
          <w:sz w:val="22"/>
          <w:szCs w:val="22"/>
          <w:lang w:val="en-US"/>
        </w:rPr>
        <w:t>with</w:t>
      </w:r>
      <w:r w:rsidR="00EC4975">
        <w:rPr>
          <w:color w:val="000000"/>
          <w:sz w:val="22"/>
          <w:szCs w:val="22"/>
          <w:lang w:val="en-US"/>
        </w:rPr>
        <w:t xml:space="preserve"> th</w:t>
      </w:r>
      <w:r w:rsidR="008C40CE">
        <w:rPr>
          <w:color w:val="000000"/>
          <w:sz w:val="22"/>
          <w:szCs w:val="22"/>
          <w:lang w:val="en-US"/>
        </w:rPr>
        <w:t xml:space="preserve">e largest growth </w:t>
      </w:r>
      <w:r w:rsidR="00EC4975">
        <w:rPr>
          <w:color w:val="000000"/>
          <w:sz w:val="22"/>
          <w:szCs w:val="22"/>
          <w:lang w:val="en-US"/>
        </w:rPr>
        <w:t>were bond funds (7.9%) and money market funds (6.3%). The large</w:t>
      </w:r>
      <w:r w:rsidR="008C40CE">
        <w:rPr>
          <w:color w:val="000000"/>
          <w:sz w:val="22"/>
          <w:szCs w:val="22"/>
          <w:lang w:val="en-US"/>
        </w:rPr>
        <w:t xml:space="preserve">st decrease in net assets in 2016 was seen in guaranteed </w:t>
      </w:r>
      <w:r w:rsidR="00EC4975">
        <w:rPr>
          <w:color w:val="000000"/>
          <w:sz w:val="22"/>
          <w:szCs w:val="22"/>
          <w:lang w:val="en-US"/>
        </w:rPr>
        <w:t>funds (11.4%).</w:t>
      </w:r>
    </w:p>
    <w:p w:rsidR="00C005C0" w:rsidRPr="00A7658E" w:rsidRDefault="00C005C0" w:rsidP="00F54A67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color w:val="0000FF"/>
          <w:sz w:val="22"/>
          <w:szCs w:val="22"/>
          <w:lang w:val="en-US"/>
        </w:rPr>
      </w:pPr>
    </w:p>
    <w:p w:rsidR="00F54A67" w:rsidRPr="00372635" w:rsidRDefault="00A7658E" w:rsidP="00F54A67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  <w:r w:rsidRPr="00C43CED">
        <w:rPr>
          <w:color w:val="000000"/>
          <w:sz w:val="22"/>
          <w:szCs w:val="22"/>
          <w:lang w:val="en-US"/>
        </w:rPr>
        <w:t>The number of UCITS</w:t>
      </w:r>
      <w:r w:rsidR="00EA7631">
        <w:rPr>
          <w:color w:val="000000"/>
          <w:sz w:val="22"/>
          <w:szCs w:val="22"/>
          <w:lang w:val="en-US"/>
        </w:rPr>
        <w:t xml:space="preserve"> funds </w:t>
      </w:r>
      <w:r w:rsidR="00931CC4">
        <w:rPr>
          <w:color w:val="000000"/>
          <w:sz w:val="22"/>
          <w:szCs w:val="22"/>
          <w:lang w:val="en-US"/>
        </w:rPr>
        <w:t>increased</w:t>
      </w:r>
      <w:r w:rsidR="0012416B">
        <w:rPr>
          <w:color w:val="000000"/>
          <w:sz w:val="22"/>
          <w:szCs w:val="22"/>
          <w:lang w:val="en-US"/>
        </w:rPr>
        <w:t xml:space="preserve"> fr</w:t>
      </w:r>
      <w:r w:rsidR="00D00F0D">
        <w:rPr>
          <w:color w:val="000000"/>
          <w:sz w:val="22"/>
          <w:szCs w:val="22"/>
          <w:lang w:val="en-US"/>
        </w:rPr>
        <w:t>om 30,057</w:t>
      </w:r>
      <w:r w:rsidR="00A00F2E">
        <w:rPr>
          <w:color w:val="000000"/>
          <w:sz w:val="22"/>
          <w:szCs w:val="22"/>
          <w:lang w:val="en-US"/>
        </w:rPr>
        <w:t xml:space="preserve"> at end Q4</w:t>
      </w:r>
      <w:r w:rsidR="007A1A7E">
        <w:rPr>
          <w:color w:val="000000"/>
          <w:sz w:val="22"/>
          <w:szCs w:val="22"/>
          <w:lang w:val="en-US"/>
        </w:rPr>
        <w:t xml:space="preserve"> </w:t>
      </w:r>
      <w:r w:rsidR="00D00F0D">
        <w:rPr>
          <w:color w:val="000000"/>
          <w:sz w:val="22"/>
          <w:szCs w:val="22"/>
          <w:lang w:val="en-US"/>
        </w:rPr>
        <w:t>2015 to 30,674</w:t>
      </w:r>
      <w:r w:rsidR="00A00F2E">
        <w:rPr>
          <w:color w:val="000000"/>
          <w:sz w:val="22"/>
          <w:szCs w:val="22"/>
          <w:lang w:val="en-US"/>
        </w:rPr>
        <w:t xml:space="preserve"> at end Q4 2016.</w:t>
      </w:r>
      <w:r w:rsidR="00FC410F">
        <w:rPr>
          <w:color w:val="000000"/>
          <w:sz w:val="22"/>
          <w:szCs w:val="22"/>
          <w:lang w:val="en-US"/>
        </w:rPr>
        <w:t xml:space="preserve"> </w:t>
      </w:r>
    </w:p>
    <w:p w:rsidR="00E83596" w:rsidRDefault="00E83596" w:rsidP="0032642C">
      <w:pPr>
        <w:pStyle w:val="Footer"/>
        <w:tabs>
          <w:tab w:val="left" w:pos="720"/>
          <w:tab w:val="left" w:pos="4320"/>
        </w:tabs>
        <w:spacing w:line="260" w:lineRule="exact"/>
        <w:jc w:val="both"/>
        <w:outlineLvl w:val="0"/>
        <w:rPr>
          <w:color w:val="000000"/>
          <w:sz w:val="22"/>
          <w:szCs w:val="22"/>
          <w:lang w:val="en-US"/>
        </w:rPr>
      </w:pPr>
    </w:p>
    <w:p w:rsidR="007A1A7E" w:rsidRPr="008C2583" w:rsidRDefault="007A1A7E" w:rsidP="00104F7D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C2583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:rsidR="007A1A7E" w:rsidRPr="008C2583" w:rsidRDefault="00EA1CB6" w:rsidP="00104F7D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1CB6">
        <w:rPr>
          <w:noProof/>
          <w:lang w:val="en-US"/>
        </w:rPr>
        <w:drawing>
          <wp:anchor distT="0" distB="0" distL="114300" distR="114300" simplePos="0" relativeHeight="251797504" behindDoc="0" locked="0" layoutInCell="1" allowOverlap="1">
            <wp:simplePos x="0" y="0"/>
            <wp:positionH relativeFrom="column">
              <wp:posOffset>627365</wp:posOffset>
            </wp:positionH>
            <wp:positionV relativeFrom="paragraph">
              <wp:posOffset>77544</wp:posOffset>
            </wp:positionV>
            <wp:extent cx="5101200" cy="6314400"/>
            <wp:effectExtent l="0" t="0" r="4445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200" cy="63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1A7E" w:rsidRPr="008C2583" w:rsidRDefault="007A1A7E" w:rsidP="00104F7D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8C2583" w:rsidRDefault="007A1A7E" w:rsidP="00104F7D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8C2583" w:rsidRDefault="007A1A7E" w:rsidP="00104F7D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8C2583" w:rsidRDefault="007A1A7E" w:rsidP="00104F7D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8C2583" w:rsidRDefault="007A1A7E" w:rsidP="00104F7D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8C2583" w:rsidRDefault="007A1A7E" w:rsidP="007A1A7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8C2583" w:rsidRDefault="007A1A7E" w:rsidP="007A1A7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8C2583" w:rsidRDefault="007A1A7E" w:rsidP="007A1A7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8C2583" w:rsidRDefault="007A1A7E" w:rsidP="007A1A7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8C2583" w:rsidRDefault="007A1A7E" w:rsidP="007A1A7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8C2583" w:rsidRDefault="007A1A7E" w:rsidP="007A1A7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8C2583" w:rsidRDefault="007A1A7E" w:rsidP="007A1A7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8C2583" w:rsidRDefault="007A1A7E" w:rsidP="007A1A7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8C2583" w:rsidRDefault="007A1A7E" w:rsidP="007A1A7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8C2583" w:rsidRDefault="007A1A7E" w:rsidP="007A1A7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8C2583" w:rsidRDefault="007A1A7E" w:rsidP="007A1A7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8C2583" w:rsidRDefault="007A1A7E" w:rsidP="007A1A7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8C2583" w:rsidRDefault="007A1A7E" w:rsidP="007A1A7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8C2583" w:rsidRDefault="007A1A7E" w:rsidP="007A1A7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8C2583" w:rsidRDefault="007A1A7E" w:rsidP="007A1A7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8C2583" w:rsidRDefault="007A1A7E" w:rsidP="007A1A7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8C2583" w:rsidRDefault="007A1A7E" w:rsidP="007A1A7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8C2583" w:rsidRDefault="007A1A7E" w:rsidP="007A1A7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8C2583" w:rsidRDefault="007A1A7E" w:rsidP="007A1A7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8C2583" w:rsidRDefault="007A1A7E" w:rsidP="007A1A7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8C2583" w:rsidRDefault="007A1A7E" w:rsidP="007A1A7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8C2583" w:rsidRDefault="007A1A7E" w:rsidP="007A1A7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E2045" w:rsidRPr="008C2583" w:rsidRDefault="007A1A7E" w:rsidP="009D5C21">
      <w:pPr>
        <w:pStyle w:val="Footer"/>
        <w:tabs>
          <w:tab w:val="clear" w:pos="4320"/>
          <w:tab w:val="clear" w:pos="8640"/>
          <w:tab w:val="left" w:pos="6195"/>
        </w:tabs>
        <w:jc w:val="center"/>
        <w:outlineLvl w:val="0"/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color w:val="000000"/>
          <w:sz w:val="22"/>
          <w:szCs w:val="22"/>
          <w:lang w:val="en-US"/>
        </w:rPr>
        <w:br w:type="page"/>
      </w:r>
      <w:r w:rsidR="00BE2045" w:rsidRPr="008C2583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Trends in the UCITS Market</w:t>
      </w:r>
    </w:p>
    <w:p w:rsidR="00BE2045" w:rsidRPr="008C2583" w:rsidRDefault="00BE2045">
      <w:pPr>
        <w:pStyle w:val="Footer"/>
        <w:jc w:val="center"/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C2583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</w:t>
      </w:r>
      <w:r w:rsidR="00054657" w:rsidRPr="008C2583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et Assets by Country of Domiciliation</w:t>
      </w:r>
    </w:p>
    <w:bookmarkEnd w:id="0"/>
    <w:p w:rsidR="002265B4" w:rsidRDefault="002265B4" w:rsidP="00761873">
      <w:pPr>
        <w:pStyle w:val="FootnoteText"/>
        <w:jc w:val="both"/>
        <w:rPr>
          <w:bCs/>
          <w:color w:val="000000"/>
          <w:sz w:val="22"/>
          <w:szCs w:val="22"/>
        </w:rPr>
      </w:pPr>
    </w:p>
    <w:p w:rsidR="00B331FE" w:rsidRDefault="002B5177">
      <w:pPr>
        <w:pStyle w:val="FootnoteText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color w:val="0000FF"/>
          <w:sz w:val="22"/>
          <w:szCs w:val="22"/>
        </w:rPr>
        <w:t xml:space="preserve">The vast majority of </w:t>
      </w:r>
      <w:r w:rsidR="003117F0">
        <w:rPr>
          <w:b/>
          <w:bCs/>
          <w:color w:val="0000FF"/>
          <w:sz w:val="22"/>
          <w:szCs w:val="22"/>
        </w:rPr>
        <w:t>domiciles</w:t>
      </w:r>
      <w:r w:rsidR="00262840" w:rsidRPr="00262840">
        <w:rPr>
          <w:b/>
          <w:bCs/>
          <w:color w:val="0000FF"/>
          <w:sz w:val="22"/>
          <w:szCs w:val="22"/>
        </w:rPr>
        <w:t xml:space="preserve"> </w:t>
      </w:r>
      <w:r w:rsidR="00A04121">
        <w:rPr>
          <w:b/>
          <w:bCs/>
          <w:color w:val="0000FF"/>
          <w:sz w:val="22"/>
          <w:szCs w:val="22"/>
        </w:rPr>
        <w:t>recorded</w:t>
      </w:r>
      <w:r w:rsidR="002429E3">
        <w:rPr>
          <w:b/>
          <w:bCs/>
          <w:color w:val="0000FF"/>
          <w:sz w:val="22"/>
          <w:szCs w:val="22"/>
        </w:rPr>
        <w:t xml:space="preserve"> </w:t>
      </w:r>
      <w:r w:rsidR="00B331FE">
        <w:rPr>
          <w:b/>
          <w:bCs/>
          <w:color w:val="0000FF"/>
          <w:sz w:val="22"/>
          <w:szCs w:val="22"/>
        </w:rPr>
        <w:t xml:space="preserve">net asset growth </w:t>
      </w:r>
      <w:r w:rsidR="00E10B6F">
        <w:rPr>
          <w:b/>
          <w:bCs/>
          <w:color w:val="0000FF"/>
          <w:sz w:val="22"/>
          <w:szCs w:val="22"/>
        </w:rPr>
        <w:t>in the fourth quarter</w:t>
      </w:r>
      <w:r w:rsidR="00B331FE">
        <w:rPr>
          <w:b/>
          <w:bCs/>
          <w:color w:val="0000FF"/>
          <w:sz w:val="22"/>
          <w:szCs w:val="22"/>
        </w:rPr>
        <w:t xml:space="preserve"> </w:t>
      </w:r>
      <w:r w:rsidR="008B480B">
        <w:rPr>
          <w:b/>
          <w:bCs/>
          <w:color w:val="0000FF"/>
          <w:sz w:val="22"/>
          <w:szCs w:val="22"/>
        </w:rPr>
        <w:t>as net assets of UCITS reached EU</w:t>
      </w:r>
      <w:r w:rsidR="00160631">
        <w:rPr>
          <w:b/>
          <w:bCs/>
          <w:color w:val="0000FF"/>
          <w:sz w:val="22"/>
          <w:szCs w:val="22"/>
        </w:rPr>
        <w:t>R 8,658 billion</w:t>
      </w:r>
      <w:r w:rsidR="00E10B6F">
        <w:rPr>
          <w:b/>
          <w:bCs/>
          <w:color w:val="0000FF"/>
          <w:sz w:val="22"/>
          <w:szCs w:val="22"/>
        </w:rPr>
        <w:t xml:space="preserve"> at end 2016.</w:t>
      </w:r>
    </w:p>
    <w:p w:rsidR="00B331FE" w:rsidRDefault="00B331FE">
      <w:pPr>
        <w:pStyle w:val="FootnoteText"/>
        <w:jc w:val="both"/>
        <w:rPr>
          <w:b/>
          <w:bCs/>
          <w:color w:val="0000FF"/>
          <w:sz w:val="22"/>
          <w:szCs w:val="22"/>
        </w:rPr>
      </w:pPr>
    </w:p>
    <w:p w:rsidR="00C864A0" w:rsidRDefault="00E10B6F">
      <w:pPr>
        <w:pStyle w:val="FootnoteText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Among the major domiciles, </w:t>
      </w:r>
      <w:r w:rsidR="00671118">
        <w:rPr>
          <w:bCs/>
          <w:color w:val="000000"/>
          <w:sz w:val="22"/>
          <w:szCs w:val="22"/>
        </w:rPr>
        <w:t>the largest increases in net assets</w:t>
      </w:r>
      <w:r w:rsidR="00D00F0D">
        <w:rPr>
          <w:bCs/>
          <w:color w:val="000000"/>
          <w:sz w:val="22"/>
          <w:szCs w:val="22"/>
        </w:rPr>
        <w:t xml:space="preserve"> </w:t>
      </w:r>
      <w:r w:rsidR="00500F0C">
        <w:rPr>
          <w:bCs/>
          <w:color w:val="000000"/>
          <w:sz w:val="22"/>
          <w:szCs w:val="22"/>
        </w:rPr>
        <w:t>in Q4</w:t>
      </w:r>
      <w:r w:rsidR="00D00F0D">
        <w:rPr>
          <w:bCs/>
          <w:color w:val="000000"/>
          <w:sz w:val="22"/>
          <w:szCs w:val="22"/>
        </w:rPr>
        <w:t xml:space="preserve"> 2016</w:t>
      </w:r>
      <w:r w:rsidR="00671118">
        <w:rPr>
          <w:bCs/>
          <w:color w:val="000000"/>
          <w:sz w:val="22"/>
          <w:szCs w:val="22"/>
        </w:rPr>
        <w:t xml:space="preserve"> were seen in Ireland (6.1%), followed by Germany (4.1%), France (2.7%), Luxembourg (2.1%) and the UK (3.3%).</w:t>
      </w:r>
      <w:r w:rsidR="00F412EE">
        <w:rPr>
          <w:bCs/>
          <w:color w:val="000000"/>
          <w:sz w:val="22"/>
          <w:szCs w:val="22"/>
        </w:rPr>
        <w:t xml:space="preserve"> </w:t>
      </w:r>
      <w:r w:rsidR="00BB0511">
        <w:rPr>
          <w:bCs/>
          <w:color w:val="000000"/>
          <w:sz w:val="22"/>
          <w:szCs w:val="22"/>
        </w:rPr>
        <w:t xml:space="preserve"> </w:t>
      </w:r>
      <w:r w:rsidR="0097671C">
        <w:rPr>
          <w:bCs/>
          <w:color w:val="000000"/>
          <w:sz w:val="22"/>
          <w:szCs w:val="22"/>
        </w:rPr>
        <w:t>All</w:t>
      </w:r>
      <w:r w:rsidR="00D00F0D">
        <w:rPr>
          <w:bCs/>
          <w:color w:val="000000"/>
          <w:sz w:val="22"/>
          <w:szCs w:val="22"/>
        </w:rPr>
        <w:t xml:space="preserve"> Nordic countries</w:t>
      </w:r>
      <w:r w:rsidR="00921F70">
        <w:rPr>
          <w:bCs/>
          <w:color w:val="000000"/>
          <w:sz w:val="22"/>
          <w:szCs w:val="22"/>
        </w:rPr>
        <w:t xml:space="preserve"> experien</w:t>
      </w:r>
      <w:r w:rsidR="0097671C">
        <w:rPr>
          <w:bCs/>
          <w:color w:val="000000"/>
          <w:sz w:val="22"/>
          <w:szCs w:val="22"/>
        </w:rPr>
        <w:t>ced net asset growth</w:t>
      </w:r>
      <w:r w:rsidR="00D00F0D">
        <w:rPr>
          <w:bCs/>
          <w:color w:val="000000"/>
          <w:sz w:val="22"/>
          <w:szCs w:val="22"/>
        </w:rPr>
        <w:t xml:space="preserve">, </w:t>
      </w:r>
      <w:r w:rsidR="0097671C">
        <w:rPr>
          <w:bCs/>
          <w:color w:val="000000"/>
          <w:sz w:val="22"/>
          <w:szCs w:val="22"/>
        </w:rPr>
        <w:t>with t</w:t>
      </w:r>
      <w:r w:rsidR="00921F70">
        <w:rPr>
          <w:bCs/>
          <w:color w:val="000000"/>
          <w:sz w:val="22"/>
          <w:szCs w:val="22"/>
        </w:rPr>
        <w:t>he l</w:t>
      </w:r>
      <w:r w:rsidR="0097671C">
        <w:rPr>
          <w:bCs/>
          <w:color w:val="000000"/>
          <w:sz w:val="22"/>
          <w:szCs w:val="22"/>
        </w:rPr>
        <w:t>argest g</w:t>
      </w:r>
      <w:r w:rsidR="00D00F0D">
        <w:rPr>
          <w:bCs/>
          <w:color w:val="000000"/>
          <w:sz w:val="22"/>
          <w:szCs w:val="22"/>
        </w:rPr>
        <w:t>rowth</w:t>
      </w:r>
      <w:r w:rsidR="0097671C">
        <w:rPr>
          <w:bCs/>
          <w:color w:val="000000"/>
          <w:sz w:val="22"/>
          <w:szCs w:val="22"/>
        </w:rPr>
        <w:t xml:space="preserve"> in Sweden (7.0%), followed by Denmark (4.5</w:t>
      </w:r>
      <w:r w:rsidR="00921F70">
        <w:rPr>
          <w:bCs/>
          <w:color w:val="000000"/>
          <w:sz w:val="22"/>
          <w:szCs w:val="22"/>
        </w:rPr>
        <w:t xml:space="preserve">%), </w:t>
      </w:r>
      <w:r w:rsidR="0097671C">
        <w:rPr>
          <w:bCs/>
          <w:color w:val="000000"/>
          <w:sz w:val="22"/>
          <w:szCs w:val="22"/>
        </w:rPr>
        <w:t>Finland (4.1%)</w:t>
      </w:r>
      <w:r w:rsidR="00D00F0D">
        <w:rPr>
          <w:bCs/>
          <w:color w:val="000000"/>
          <w:sz w:val="22"/>
          <w:szCs w:val="22"/>
        </w:rPr>
        <w:t xml:space="preserve"> and Norway (2.2)</w:t>
      </w:r>
      <w:r w:rsidR="00921F70">
        <w:rPr>
          <w:bCs/>
          <w:color w:val="000000"/>
          <w:sz w:val="22"/>
          <w:szCs w:val="22"/>
        </w:rPr>
        <w:t xml:space="preserve">. </w:t>
      </w:r>
      <w:r w:rsidR="00BB0511">
        <w:rPr>
          <w:bCs/>
          <w:color w:val="000000"/>
          <w:sz w:val="22"/>
          <w:szCs w:val="22"/>
        </w:rPr>
        <w:t xml:space="preserve"> </w:t>
      </w:r>
      <w:r w:rsidR="00921F70">
        <w:rPr>
          <w:bCs/>
          <w:color w:val="000000"/>
          <w:sz w:val="22"/>
          <w:szCs w:val="22"/>
        </w:rPr>
        <w:t xml:space="preserve">In Southern Europe, </w:t>
      </w:r>
      <w:r w:rsidR="0097671C">
        <w:rPr>
          <w:bCs/>
          <w:color w:val="000000"/>
          <w:sz w:val="22"/>
          <w:szCs w:val="22"/>
        </w:rPr>
        <w:t xml:space="preserve">the largest net asset growth was seen in Cyprus (21%), Greece (3.2%) and Spain (2.9%) with Malta experiencing a decrease in net assets of 3.5 percent. </w:t>
      </w:r>
      <w:r w:rsidR="001A415A">
        <w:rPr>
          <w:bCs/>
          <w:color w:val="000000"/>
          <w:sz w:val="22"/>
          <w:szCs w:val="22"/>
        </w:rPr>
        <w:t>Strong increases in net assets were also seen in Central and Eastern Europe, with the largest increase</w:t>
      </w:r>
      <w:r w:rsidR="00F170E9">
        <w:rPr>
          <w:bCs/>
          <w:color w:val="000000"/>
          <w:sz w:val="22"/>
          <w:szCs w:val="22"/>
        </w:rPr>
        <w:t xml:space="preserve"> in Hungary (16.3</w:t>
      </w:r>
      <w:r w:rsidR="00F6001A">
        <w:rPr>
          <w:bCs/>
          <w:color w:val="000000"/>
          <w:sz w:val="22"/>
          <w:szCs w:val="22"/>
        </w:rPr>
        <w:t>%)</w:t>
      </w:r>
      <w:r w:rsidR="00F170E9">
        <w:rPr>
          <w:bCs/>
          <w:color w:val="000000"/>
          <w:sz w:val="22"/>
          <w:szCs w:val="22"/>
        </w:rPr>
        <w:t>,</w:t>
      </w:r>
      <w:r w:rsidR="0007093D">
        <w:rPr>
          <w:bCs/>
          <w:color w:val="000000"/>
          <w:sz w:val="22"/>
          <w:szCs w:val="22"/>
        </w:rPr>
        <w:t xml:space="preserve"> followed by Bulgaria (11.2%) and the Czech Republic (4.1%)</w:t>
      </w:r>
      <w:r w:rsidR="00D00F0D">
        <w:rPr>
          <w:bCs/>
          <w:color w:val="000000"/>
          <w:sz w:val="22"/>
          <w:szCs w:val="22"/>
        </w:rPr>
        <w:t>,</w:t>
      </w:r>
      <w:r w:rsidR="0007093D">
        <w:rPr>
          <w:bCs/>
          <w:color w:val="000000"/>
          <w:sz w:val="22"/>
          <w:szCs w:val="22"/>
        </w:rPr>
        <w:t xml:space="preserve"> with the largest the largest net asset decreases in Romania (2.2%).</w:t>
      </w:r>
      <w:r w:rsidR="001A415A">
        <w:rPr>
          <w:bCs/>
          <w:color w:val="000000"/>
          <w:sz w:val="22"/>
          <w:szCs w:val="22"/>
        </w:rPr>
        <w:t xml:space="preserve"> </w:t>
      </w:r>
    </w:p>
    <w:p w:rsidR="00E10B6F" w:rsidRDefault="00E10B6F">
      <w:pPr>
        <w:pStyle w:val="FootnoteText"/>
        <w:jc w:val="both"/>
        <w:rPr>
          <w:bCs/>
          <w:color w:val="000000"/>
          <w:sz w:val="22"/>
          <w:szCs w:val="22"/>
        </w:rPr>
      </w:pPr>
    </w:p>
    <w:p w:rsidR="00433C4D" w:rsidRDefault="00E10B6F" w:rsidP="00E10B6F">
      <w:pPr>
        <w:pStyle w:val="FootnoteText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Net assets of UCITS </w:t>
      </w:r>
      <w:r w:rsidR="00D00F0D">
        <w:rPr>
          <w:bCs/>
          <w:color w:val="000000"/>
          <w:sz w:val="22"/>
          <w:szCs w:val="22"/>
        </w:rPr>
        <w:t xml:space="preserve">reached EUR 8,658 </w:t>
      </w:r>
      <w:r w:rsidR="00BB0511">
        <w:rPr>
          <w:bCs/>
          <w:color w:val="000000"/>
          <w:sz w:val="22"/>
          <w:szCs w:val="22"/>
        </w:rPr>
        <w:t xml:space="preserve">billion </w:t>
      </w:r>
      <w:r w:rsidR="00D00F0D">
        <w:rPr>
          <w:bCs/>
          <w:color w:val="000000"/>
          <w:sz w:val="22"/>
          <w:szCs w:val="22"/>
        </w:rPr>
        <w:t>by end Q4 2016</w:t>
      </w:r>
      <w:r>
        <w:rPr>
          <w:bCs/>
          <w:color w:val="000000"/>
          <w:sz w:val="22"/>
          <w:szCs w:val="22"/>
        </w:rPr>
        <w:t xml:space="preserve">, representing an increase of 3.2% </w:t>
      </w:r>
      <w:r w:rsidR="00BB0511">
        <w:rPr>
          <w:bCs/>
          <w:color w:val="000000"/>
          <w:sz w:val="22"/>
          <w:szCs w:val="22"/>
        </w:rPr>
        <w:t xml:space="preserve">in </w:t>
      </w:r>
      <w:r>
        <w:rPr>
          <w:bCs/>
          <w:color w:val="000000"/>
          <w:sz w:val="22"/>
          <w:szCs w:val="22"/>
        </w:rPr>
        <w:t>Q</w:t>
      </w:r>
      <w:r w:rsidR="00BB0511">
        <w:rPr>
          <w:bCs/>
          <w:color w:val="000000"/>
          <w:sz w:val="22"/>
          <w:szCs w:val="22"/>
        </w:rPr>
        <w:t>4</w:t>
      </w:r>
      <w:r>
        <w:rPr>
          <w:bCs/>
          <w:color w:val="000000"/>
          <w:sz w:val="22"/>
          <w:szCs w:val="22"/>
        </w:rPr>
        <w:t xml:space="preserve"> 2016 and 5.5% </w:t>
      </w:r>
      <w:r w:rsidR="00BB0511">
        <w:rPr>
          <w:bCs/>
          <w:color w:val="000000"/>
          <w:sz w:val="22"/>
          <w:szCs w:val="22"/>
        </w:rPr>
        <w:t>in 20016</w:t>
      </w:r>
      <w:r>
        <w:rPr>
          <w:bCs/>
          <w:color w:val="000000"/>
          <w:sz w:val="22"/>
          <w:szCs w:val="22"/>
        </w:rPr>
        <w:t>.</w:t>
      </w:r>
    </w:p>
    <w:p w:rsidR="00072669" w:rsidRPr="008C2583" w:rsidRDefault="00EA1CB6" w:rsidP="0007093D">
      <w:pPr>
        <w:pStyle w:val="FootnoteText"/>
        <w:jc w:val="center"/>
        <w:rPr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1CB6">
        <w:rPr>
          <w:noProof/>
        </w:rPr>
        <w:drawing>
          <wp:anchor distT="0" distB="0" distL="114300" distR="114300" simplePos="0" relativeHeight="251798528" behindDoc="0" locked="0" layoutInCell="1" allowOverlap="1">
            <wp:simplePos x="0" y="0"/>
            <wp:positionH relativeFrom="column">
              <wp:posOffset>435610</wp:posOffset>
            </wp:positionH>
            <wp:positionV relativeFrom="paragraph">
              <wp:posOffset>350816</wp:posOffset>
            </wp:positionV>
            <wp:extent cx="5446800" cy="5918400"/>
            <wp:effectExtent l="0" t="0" r="1905" b="635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800" cy="591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4E5B" w:rsidRPr="008C2583">
        <w:rPr>
          <w:b/>
          <w:bCs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  <w:r w:rsidR="00072669" w:rsidRPr="008C2583">
        <w:rPr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Trends in the AIF Market</w:t>
      </w:r>
    </w:p>
    <w:p w:rsidR="00072669" w:rsidRPr="008C2583" w:rsidRDefault="00072669" w:rsidP="0007093D">
      <w:pPr>
        <w:pStyle w:val="Footer"/>
        <w:jc w:val="center"/>
        <w:outlineLvl w:val="0"/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C2583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Net Sales by Investment Type</w:t>
      </w:r>
    </w:p>
    <w:p w:rsidR="00072669" w:rsidRDefault="00072669" w:rsidP="00072669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sz w:val="22"/>
          <w:szCs w:val="22"/>
          <w:lang w:val="en-US"/>
        </w:rPr>
      </w:pPr>
    </w:p>
    <w:p w:rsidR="00072669" w:rsidRDefault="002B5C1C" w:rsidP="00072669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bCs/>
          <w:color w:val="0000FF"/>
          <w:sz w:val="22"/>
          <w:szCs w:val="22"/>
          <w:lang w:val="en-US"/>
        </w:rPr>
      </w:pPr>
      <w:r>
        <w:rPr>
          <w:b/>
          <w:bCs/>
          <w:color w:val="0000FF"/>
          <w:sz w:val="22"/>
          <w:szCs w:val="22"/>
          <w:lang w:val="en-US"/>
        </w:rPr>
        <w:t>AIF</w:t>
      </w:r>
      <w:r w:rsidR="0007093D">
        <w:rPr>
          <w:b/>
          <w:bCs/>
          <w:color w:val="0000FF"/>
          <w:sz w:val="22"/>
          <w:szCs w:val="22"/>
          <w:lang w:val="en-US"/>
        </w:rPr>
        <w:t xml:space="preserve"> recorded net inflows of EUR 39</w:t>
      </w:r>
      <w:r w:rsidR="00072669">
        <w:rPr>
          <w:b/>
          <w:bCs/>
          <w:color w:val="0000FF"/>
          <w:sz w:val="22"/>
          <w:szCs w:val="22"/>
          <w:lang w:val="en-US"/>
        </w:rPr>
        <w:t xml:space="preserve"> billion during </w:t>
      </w:r>
      <w:r w:rsidR="0007093D">
        <w:rPr>
          <w:b/>
          <w:bCs/>
          <w:color w:val="0000FF"/>
          <w:sz w:val="22"/>
          <w:szCs w:val="22"/>
          <w:lang w:val="en-US"/>
        </w:rPr>
        <w:t>Q4 2016, down from EUR 43</w:t>
      </w:r>
      <w:r w:rsidR="00F6001A">
        <w:rPr>
          <w:b/>
          <w:bCs/>
          <w:color w:val="0000FF"/>
          <w:sz w:val="22"/>
          <w:szCs w:val="22"/>
          <w:lang w:val="en-US"/>
        </w:rPr>
        <w:t xml:space="preserve"> billion</w:t>
      </w:r>
      <w:r w:rsidR="003E75D5">
        <w:rPr>
          <w:b/>
          <w:bCs/>
          <w:color w:val="0000FF"/>
          <w:sz w:val="22"/>
          <w:szCs w:val="22"/>
          <w:lang w:val="en-US"/>
        </w:rPr>
        <w:t xml:space="preserve"> in the previous</w:t>
      </w:r>
      <w:r w:rsidR="00B16EB4">
        <w:rPr>
          <w:b/>
          <w:bCs/>
          <w:color w:val="0000FF"/>
          <w:sz w:val="22"/>
          <w:szCs w:val="22"/>
          <w:lang w:val="en-US"/>
        </w:rPr>
        <w:t xml:space="preserve"> quarter</w:t>
      </w:r>
      <w:r w:rsidR="00072669">
        <w:rPr>
          <w:b/>
          <w:bCs/>
          <w:color w:val="0000FF"/>
          <w:sz w:val="22"/>
          <w:szCs w:val="22"/>
          <w:lang w:val="en-US"/>
        </w:rPr>
        <w:t>.</w:t>
      </w:r>
      <w:r w:rsidR="0007093D">
        <w:rPr>
          <w:b/>
          <w:bCs/>
          <w:color w:val="0000FF"/>
          <w:sz w:val="22"/>
          <w:szCs w:val="22"/>
          <w:lang w:val="en-US"/>
        </w:rPr>
        <w:t xml:space="preserve"> In total, AIF garnered net sales of EUR 184 bill</w:t>
      </w:r>
      <w:r w:rsidR="00B16EB4">
        <w:rPr>
          <w:b/>
          <w:bCs/>
          <w:color w:val="0000FF"/>
          <w:sz w:val="22"/>
          <w:szCs w:val="22"/>
          <w:lang w:val="en-US"/>
        </w:rPr>
        <w:t>ion in 2016, compared to EUR 148</w:t>
      </w:r>
      <w:r w:rsidR="0007093D">
        <w:rPr>
          <w:b/>
          <w:bCs/>
          <w:color w:val="0000FF"/>
          <w:sz w:val="22"/>
          <w:szCs w:val="22"/>
          <w:lang w:val="en-US"/>
        </w:rPr>
        <w:t xml:space="preserve"> billion in 2015. </w:t>
      </w:r>
    </w:p>
    <w:p w:rsidR="00072669" w:rsidRDefault="00072669" w:rsidP="00072669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color w:val="0000FF"/>
          <w:sz w:val="22"/>
          <w:szCs w:val="22"/>
        </w:rPr>
        <w:t xml:space="preserve"> </w:t>
      </w:r>
    </w:p>
    <w:p w:rsidR="00072669" w:rsidRDefault="006A3986" w:rsidP="00072669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Long-term AIF</w:t>
      </w:r>
      <w:r w:rsidR="00072669" w:rsidRPr="007D3A6C">
        <w:rPr>
          <w:bCs/>
          <w:color w:val="000000"/>
          <w:sz w:val="22"/>
          <w:szCs w:val="22"/>
        </w:rPr>
        <w:t xml:space="preserve"> </w:t>
      </w:r>
      <w:r w:rsidR="00690F71">
        <w:rPr>
          <w:bCs/>
          <w:color w:val="000000"/>
          <w:sz w:val="22"/>
          <w:szCs w:val="22"/>
        </w:rPr>
        <w:t>recorded net sales</w:t>
      </w:r>
      <w:r w:rsidR="00317C68">
        <w:rPr>
          <w:bCs/>
          <w:color w:val="000000"/>
          <w:sz w:val="22"/>
          <w:szCs w:val="22"/>
        </w:rPr>
        <w:t xml:space="preserve"> of EUR</w:t>
      </w:r>
      <w:r w:rsidR="00690F71">
        <w:rPr>
          <w:bCs/>
          <w:color w:val="000000"/>
          <w:sz w:val="22"/>
          <w:szCs w:val="22"/>
        </w:rPr>
        <w:t xml:space="preserve"> 37 </w:t>
      </w:r>
      <w:r>
        <w:rPr>
          <w:bCs/>
          <w:color w:val="000000"/>
          <w:sz w:val="22"/>
          <w:szCs w:val="22"/>
        </w:rPr>
        <w:t>billion</w:t>
      </w:r>
      <w:r w:rsidR="00317C68">
        <w:rPr>
          <w:bCs/>
          <w:color w:val="000000"/>
          <w:sz w:val="22"/>
          <w:szCs w:val="22"/>
        </w:rPr>
        <w:t>, down from</w:t>
      </w:r>
      <w:r w:rsidR="00072669" w:rsidRPr="00A7353F">
        <w:rPr>
          <w:bCs/>
          <w:color w:val="000000"/>
          <w:sz w:val="22"/>
          <w:szCs w:val="22"/>
        </w:rPr>
        <w:t xml:space="preserve"> net</w:t>
      </w:r>
      <w:r w:rsidR="00690F71">
        <w:rPr>
          <w:bCs/>
          <w:color w:val="000000"/>
          <w:sz w:val="22"/>
          <w:szCs w:val="22"/>
        </w:rPr>
        <w:t xml:space="preserve"> sales </w:t>
      </w:r>
      <w:r w:rsidR="00072669" w:rsidRPr="00A7353F">
        <w:rPr>
          <w:bCs/>
          <w:color w:val="000000"/>
          <w:sz w:val="22"/>
          <w:szCs w:val="22"/>
        </w:rPr>
        <w:t xml:space="preserve">of EUR </w:t>
      </w:r>
      <w:r w:rsidR="00690F71">
        <w:rPr>
          <w:bCs/>
          <w:color w:val="000000"/>
          <w:sz w:val="22"/>
          <w:szCs w:val="22"/>
        </w:rPr>
        <w:t>44</w:t>
      </w:r>
      <w:r w:rsidR="00072669" w:rsidRPr="00A7353F">
        <w:rPr>
          <w:bCs/>
          <w:color w:val="000000"/>
          <w:sz w:val="22"/>
          <w:szCs w:val="22"/>
        </w:rPr>
        <w:t xml:space="preserve"> billion in </w:t>
      </w:r>
      <w:r w:rsidR="00690F71">
        <w:rPr>
          <w:bCs/>
          <w:color w:val="000000"/>
          <w:sz w:val="22"/>
          <w:szCs w:val="22"/>
        </w:rPr>
        <w:t>Q3</w:t>
      </w:r>
      <w:r w:rsidR="00072669" w:rsidRPr="00A7353F">
        <w:rPr>
          <w:bCs/>
          <w:color w:val="000000"/>
          <w:sz w:val="22"/>
          <w:szCs w:val="22"/>
        </w:rPr>
        <w:t xml:space="preserve"> 201</w:t>
      </w:r>
      <w:r w:rsidR="003E75D5">
        <w:rPr>
          <w:bCs/>
          <w:color w:val="000000"/>
          <w:sz w:val="22"/>
          <w:szCs w:val="22"/>
        </w:rPr>
        <w:t>6</w:t>
      </w:r>
      <w:r w:rsidR="00690F71">
        <w:rPr>
          <w:bCs/>
          <w:color w:val="000000"/>
          <w:sz w:val="22"/>
          <w:szCs w:val="22"/>
        </w:rPr>
        <w:t xml:space="preserve">. </w:t>
      </w:r>
      <w:r w:rsidR="00A047A3">
        <w:rPr>
          <w:bCs/>
          <w:color w:val="000000"/>
          <w:sz w:val="22"/>
          <w:szCs w:val="22"/>
        </w:rPr>
        <w:t xml:space="preserve"> </w:t>
      </w:r>
      <w:r w:rsidR="00955D92">
        <w:rPr>
          <w:bCs/>
          <w:color w:val="000000"/>
          <w:sz w:val="22"/>
          <w:szCs w:val="22"/>
        </w:rPr>
        <w:t>Both e</w:t>
      </w:r>
      <w:r w:rsidR="00690F71">
        <w:rPr>
          <w:bCs/>
          <w:color w:val="000000"/>
          <w:sz w:val="22"/>
          <w:szCs w:val="22"/>
        </w:rPr>
        <w:t>quity</w:t>
      </w:r>
      <w:r w:rsidR="00955D92">
        <w:rPr>
          <w:bCs/>
          <w:color w:val="000000"/>
          <w:sz w:val="22"/>
          <w:szCs w:val="22"/>
        </w:rPr>
        <w:t xml:space="preserve"> and</w:t>
      </w:r>
      <w:r w:rsidR="00C0749C">
        <w:rPr>
          <w:bCs/>
          <w:color w:val="000000"/>
          <w:sz w:val="22"/>
          <w:szCs w:val="22"/>
        </w:rPr>
        <w:t xml:space="preserve"> bond funds recorded</w:t>
      </w:r>
      <w:r w:rsidR="00955D92">
        <w:rPr>
          <w:bCs/>
          <w:color w:val="000000"/>
          <w:sz w:val="22"/>
          <w:szCs w:val="22"/>
        </w:rPr>
        <w:t xml:space="preserve"> </w:t>
      </w:r>
      <w:r w:rsidR="00C0749C">
        <w:rPr>
          <w:bCs/>
          <w:color w:val="000000"/>
          <w:sz w:val="22"/>
          <w:szCs w:val="22"/>
        </w:rPr>
        <w:t xml:space="preserve">net </w:t>
      </w:r>
      <w:r w:rsidR="00690F71">
        <w:rPr>
          <w:bCs/>
          <w:color w:val="000000"/>
          <w:sz w:val="22"/>
          <w:szCs w:val="22"/>
        </w:rPr>
        <w:t>outflows</w:t>
      </w:r>
      <w:r w:rsidR="00B16EB4">
        <w:rPr>
          <w:bCs/>
          <w:color w:val="000000"/>
          <w:sz w:val="22"/>
          <w:szCs w:val="22"/>
        </w:rPr>
        <w:t xml:space="preserve"> f</w:t>
      </w:r>
      <w:r w:rsidR="00690F71">
        <w:rPr>
          <w:bCs/>
          <w:color w:val="000000"/>
          <w:sz w:val="22"/>
          <w:szCs w:val="22"/>
        </w:rPr>
        <w:t>or the first time this year</w:t>
      </w:r>
      <w:r w:rsidR="00C0749C">
        <w:rPr>
          <w:bCs/>
          <w:color w:val="000000"/>
          <w:sz w:val="22"/>
          <w:szCs w:val="22"/>
        </w:rPr>
        <w:t xml:space="preserve">, with net outflows of </w:t>
      </w:r>
      <w:r w:rsidR="00690F71">
        <w:rPr>
          <w:bCs/>
          <w:color w:val="000000"/>
          <w:sz w:val="22"/>
          <w:szCs w:val="22"/>
        </w:rPr>
        <w:t>EUR 6 billion</w:t>
      </w:r>
      <w:r w:rsidR="00955D92">
        <w:rPr>
          <w:bCs/>
          <w:color w:val="000000"/>
          <w:sz w:val="22"/>
          <w:szCs w:val="22"/>
        </w:rPr>
        <w:t xml:space="preserve"> and EUR 3 billion respectively.</w:t>
      </w:r>
      <w:r w:rsidR="00C0749C">
        <w:rPr>
          <w:bCs/>
          <w:color w:val="000000"/>
          <w:sz w:val="22"/>
          <w:szCs w:val="22"/>
        </w:rPr>
        <w:t xml:space="preserve"> </w:t>
      </w:r>
      <w:r w:rsidR="00A047A3">
        <w:rPr>
          <w:bCs/>
          <w:color w:val="000000"/>
          <w:sz w:val="22"/>
          <w:szCs w:val="22"/>
        </w:rPr>
        <w:t xml:space="preserve"> </w:t>
      </w:r>
      <w:r w:rsidR="00930A0B">
        <w:rPr>
          <w:bCs/>
          <w:color w:val="000000"/>
          <w:sz w:val="22"/>
          <w:szCs w:val="22"/>
        </w:rPr>
        <w:t xml:space="preserve">Net sales of multi-asset </w:t>
      </w:r>
      <w:r w:rsidR="008B480B">
        <w:rPr>
          <w:bCs/>
          <w:color w:val="000000"/>
          <w:sz w:val="22"/>
          <w:szCs w:val="22"/>
        </w:rPr>
        <w:t xml:space="preserve">funds </w:t>
      </w:r>
      <w:r w:rsidR="003E75D5">
        <w:rPr>
          <w:bCs/>
          <w:color w:val="000000"/>
          <w:sz w:val="22"/>
          <w:szCs w:val="22"/>
        </w:rPr>
        <w:t xml:space="preserve">registered EUR 17 billion, up </w:t>
      </w:r>
      <w:r w:rsidR="00690F71">
        <w:rPr>
          <w:bCs/>
          <w:color w:val="000000"/>
          <w:sz w:val="22"/>
          <w:szCs w:val="22"/>
        </w:rPr>
        <w:t>from EUR 11</w:t>
      </w:r>
      <w:r w:rsidR="00C2596B">
        <w:rPr>
          <w:bCs/>
          <w:color w:val="000000"/>
          <w:sz w:val="22"/>
          <w:szCs w:val="22"/>
        </w:rPr>
        <w:t xml:space="preserve"> billion </w:t>
      </w:r>
      <w:r w:rsidR="00690F71">
        <w:rPr>
          <w:bCs/>
          <w:color w:val="000000"/>
          <w:sz w:val="22"/>
          <w:szCs w:val="22"/>
        </w:rPr>
        <w:t>in Q3</w:t>
      </w:r>
      <w:r w:rsidR="003E75D5">
        <w:rPr>
          <w:bCs/>
          <w:color w:val="000000"/>
          <w:sz w:val="22"/>
          <w:szCs w:val="22"/>
        </w:rPr>
        <w:t xml:space="preserve">. </w:t>
      </w:r>
      <w:r w:rsidR="00A047A3">
        <w:rPr>
          <w:bCs/>
          <w:color w:val="000000"/>
          <w:sz w:val="22"/>
          <w:szCs w:val="22"/>
        </w:rPr>
        <w:t xml:space="preserve"> </w:t>
      </w:r>
      <w:r w:rsidR="00930A0B">
        <w:rPr>
          <w:bCs/>
          <w:color w:val="000000"/>
          <w:sz w:val="22"/>
          <w:szCs w:val="22"/>
        </w:rPr>
        <w:t xml:space="preserve">Net sales of real estate funds </w:t>
      </w:r>
      <w:r w:rsidR="003E75D5">
        <w:rPr>
          <w:bCs/>
          <w:color w:val="000000"/>
          <w:sz w:val="22"/>
          <w:szCs w:val="22"/>
        </w:rPr>
        <w:t xml:space="preserve">registered net sales of EUR 5 billion, up </w:t>
      </w:r>
      <w:r w:rsidR="0008706C">
        <w:rPr>
          <w:bCs/>
          <w:color w:val="000000"/>
          <w:sz w:val="22"/>
          <w:szCs w:val="22"/>
        </w:rPr>
        <w:t>from EUR 2 billion in Q3.</w:t>
      </w:r>
      <w:r w:rsidR="003E75D5">
        <w:rPr>
          <w:bCs/>
          <w:color w:val="000000"/>
          <w:sz w:val="22"/>
          <w:szCs w:val="22"/>
        </w:rPr>
        <w:t xml:space="preserve"> </w:t>
      </w:r>
    </w:p>
    <w:p w:rsidR="00072669" w:rsidRDefault="00072669" w:rsidP="00072669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Cs/>
          <w:color w:val="000000"/>
          <w:sz w:val="22"/>
          <w:szCs w:val="22"/>
        </w:rPr>
      </w:pPr>
    </w:p>
    <w:p w:rsidR="00072669" w:rsidRPr="00955553" w:rsidRDefault="00312C7D" w:rsidP="00072669">
      <w:pPr>
        <w:pStyle w:val="Footer"/>
        <w:tabs>
          <w:tab w:val="left" w:pos="720"/>
          <w:tab w:val="left" w:pos="4320"/>
        </w:tabs>
        <w:spacing w:line="260" w:lineRule="exact"/>
        <w:jc w:val="right"/>
        <w:rPr>
          <w:bCs/>
          <w:color w:val="000000"/>
          <w:sz w:val="22"/>
          <w:szCs w:val="22"/>
        </w:rPr>
      </w:pPr>
      <w:r>
        <w:rPr>
          <w:b/>
          <w:bCs/>
          <w:iCs/>
          <w:noProof/>
          <w:sz w:val="28"/>
          <w:szCs w:val="28"/>
          <w:lang w:val="en-US"/>
        </w:rPr>
        <w:drawing>
          <wp:anchor distT="0" distB="0" distL="114300" distR="114300" simplePos="0" relativeHeight="251743232" behindDoc="0" locked="0" layoutInCell="1" allowOverlap="1" wp14:anchorId="25AFDA7C">
            <wp:simplePos x="0" y="0"/>
            <wp:positionH relativeFrom="column">
              <wp:posOffset>3285460</wp:posOffset>
            </wp:positionH>
            <wp:positionV relativeFrom="paragraph">
              <wp:posOffset>39813</wp:posOffset>
            </wp:positionV>
            <wp:extent cx="3078000" cy="2088000"/>
            <wp:effectExtent l="0" t="0" r="0" b="762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000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92B">
        <w:rPr>
          <w:b/>
          <w:bCs/>
          <w:iCs/>
          <w:noProof/>
          <w:sz w:val="28"/>
          <w:szCs w:val="28"/>
          <w:lang w:val="en-US"/>
        </w:rPr>
        <w:drawing>
          <wp:anchor distT="0" distB="0" distL="114300" distR="114300" simplePos="0" relativeHeight="251708416" behindDoc="0" locked="0" layoutInCell="1" allowOverlap="1" wp14:anchorId="0563DFE6">
            <wp:simplePos x="0" y="0"/>
            <wp:positionH relativeFrom="column">
              <wp:posOffset>-51435</wp:posOffset>
            </wp:positionH>
            <wp:positionV relativeFrom="paragraph">
              <wp:posOffset>153197</wp:posOffset>
            </wp:positionV>
            <wp:extent cx="3430270" cy="208788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270" cy="208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2669" w:rsidRPr="008C2583" w:rsidRDefault="00072669" w:rsidP="00072669">
      <w:pPr>
        <w:pStyle w:val="Footer"/>
        <w:jc w:val="center"/>
        <w:rPr>
          <w:b/>
          <w:bCs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24985" w:rsidRPr="008C2583" w:rsidRDefault="00312C7D" w:rsidP="00072669">
      <w:pPr>
        <w:pStyle w:val="Footer"/>
        <w:jc w:val="center"/>
        <w:outlineLvl w:val="0"/>
        <w:rPr>
          <w:b/>
          <w:bCs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iCs/>
          <w:noProof/>
          <w:sz w:val="28"/>
          <w:szCs w:val="28"/>
          <w:lang w:val="en-US"/>
        </w:rPr>
        <w:drawing>
          <wp:anchor distT="0" distB="0" distL="114300" distR="114300" simplePos="0" relativeHeight="251744256" behindDoc="0" locked="0" layoutInCell="1" allowOverlap="1" wp14:anchorId="6DB37397">
            <wp:simplePos x="0" y="0"/>
            <wp:positionH relativeFrom="column">
              <wp:posOffset>3349256</wp:posOffset>
            </wp:positionH>
            <wp:positionV relativeFrom="paragraph">
              <wp:posOffset>2083982</wp:posOffset>
            </wp:positionV>
            <wp:extent cx="3078000" cy="2088000"/>
            <wp:effectExtent l="0" t="0" r="0" b="762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000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92B">
        <w:rPr>
          <w:b/>
          <w:bCs/>
          <w:iCs/>
          <w:noProof/>
          <w:sz w:val="28"/>
          <w:szCs w:val="28"/>
          <w:lang w:val="en-US"/>
        </w:rPr>
        <w:drawing>
          <wp:anchor distT="0" distB="0" distL="114300" distR="114300" simplePos="0" relativeHeight="251713536" behindDoc="0" locked="0" layoutInCell="1" allowOverlap="1" wp14:anchorId="39893B36">
            <wp:simplePos x="0" y="0"/>
            <wp:positionH relativeFrom="column">
              <wp:posOffset>3351158</wp:posOffset>
            </wp:positionH>
            <wp:positionV relativeFrom="paragraph">
              <wp:posOffset>4482672</wp:posOffset>
            </wp:positionV>
            <wp:extent cx="3171866" cy="2151675"/>
            <wp:effectExtent l="0" t="0" r="0" b="127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560" cy="2154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92B">
        <w:rPr>
          <w:b/>
          <w:bCs/>
          <w:iCs/>
          <w:noProof/>
          <w:sz w:val="28"/>
          <w:szCs w:val="28"/>
          <w:lang w:val="en-US"/>
        </w:rPr>
        <w:drawing>
          <wp:anchor distT="0" distB="0" distL="114300" distR="114300" simplePos="0" relativeHeight="251712512" behindDoc="0" locked="0" layoutInCell="1" allowOverlap="1" wp14:anchorId="7D5A3D56">
            <wp:simplePos x="0" y="0"/>
            <wp:positionH relativeFrom="column">
              <wp:posOffset>52904</wp:posOffset>
            </wp:positionH>
            <wp:positionV relativeFrom="paragraph">
              <wp:posOffset>4550735</wp:posOffset>
            </wp:positionV>
            <wp:extent cx="3078000" cy="2088000"/>
            <wp:effectExtent l="0" t="0" r="0" b="762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000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92B">
        <w:rPr>
          <w:b/>
          <w:bCs/>
          <w:iCs/>
          <w:noProof/>
          <w:sz w:val="28"/>
          <w:szCs w:val="28"/>
          <w:lang w:val="en-US"/>
        </w:rPr>
        <w:drawing>
          <wp:anchor distT="0" distB="0" distL="114300" distR="114300" simplePos="0" relativeHeight="251710464" behindDoc="0" locked="0" layoutInCell="1" allowOverlap="1" wp14:anchorId="2AADDB3E">
            <wp:simplePos x="0" y="0"/>
            <wp:positionH relativeFrom="column">
              <wp:posOffset>-52912</wp:posOffset>
            </wp:positionH>
            <wp:positionV relativeFrom="paragraph">
              <wp:posOffset>2081999</wp:posOffset>
            </wp:positionV>
            <wp:extent cx="3184171" cy="2160023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995" cy="21605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2669" w:rsidRPr="008C2583">
        <w:rPr>
          <w:b/>
          <w:bCs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  <w:r w:rsidR="00024985" w:rsidRPr="008C2583">
        <w:rPr>
          <w:b/>
          <w:bCs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Trends in the AIF Market</w:t>
      </w:r>
    </w:p>
    <w:p w:rsidR="00024985" w:rsidRDefault="00024985" w:rsidP="00024985">
      <w:pPr>
        <w:pStyle w:val="Footer"/>
        <w:tabs>
          <w:tab w:val="clear" w:pos="4320"/>
          <w:tab w:val="clear" w:pos="8640"/>
          <w:tab w:val="left" w:pos="4185"/>
        </w:tabs>
        <w:spacing w:line="260" w:lineRule="exact"/>
        <w:jc w:val="center"/>
        <w:rPr>
          <w:i/>
          <w:iCs/>
          <w:sz w:val="22"/>
          <w:szCs w:val="22"/>
          <w:lang w:val="en-US"/>
        </w:rPr>
      </w:pPr>
      <w:r w:rsidRPr="008C2583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Net Sales by </w:t>
      </w:r>
      <w:r w:rsidR="0074146A" w:rsidRPr="008C2583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Country of Domiciliation and</w:t>
      </w:r>
      <w:r w:rsidR="005B1F0F" w:rsidRPr="008C2583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8C2583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Investment Type</w:t>
      </w:r>
    </w:p>
    <w:p w:rsidR="00024985" w:rsidRPr="008C2583" w:rsidRDefault="00024985" w:rsidP="009D14F0">
      <w:pPr>
        <w:pStyle w:val="Footer"/>
        <w:jc w:val="center"/>
        <w:outlineLvl w:val="0"/>
        <w:rPr>
          <w:b/>
          <w:bCs/>
          <w:iCs/>
          <w:sz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01D11" w:rsidRPr="008E59D9" w:rsidRDefault="00982A9B" w:rsidP="007C28E2">
      <w:pPr>
        <w:spacing w:line="260" w:lineRule="atLeast"/>
        <w:jc w:val="both"/>
        <w:rPr>
          <w:b/>
          <w:color w:val="0000FF"/>
          <w:sz w:val="22"/>
          <w:szCs w:val="22"/>
          <w:lang w:eastAsia="fr-FR"/>
        </w:rPr>
      </w:pPr>
      <w:r>
        <w:rPr>
          <w:b/>
          <w:color w:val="0000FF"/>
          <w:sz w:val="22"/>
          <w:szCs w:val="22"/>
          <w:lang w:eastAsia="fr-FR"/>
        </w:rPr>
        <w:t xml:space="preserve">Net sales of </w:t>
      </w:r>
      <w:r w:rsidR="00D67209">
        <w:rPr>
          <w:b/>
          <w:color w:val="0000FF"/>
          <w:sz w:val="22"/>
          <w:szCs w:val="22"/>
          <w:lang w:eastAsia="fr-FR"/>
        </w:rPr>
        <w:t>AIF</w:t>
      </w:r>
      <w:r>
        <w:rPr>
          <w:b/>
          <w:color w:val="0000FF"/>
          <w:sz w:val="22"/>
          <w:szCs w:val="22"/>
          <w:lang w:eastAsia="fr-FR"/>
        </w:rPr>
        <w:t xml:space="preserve"> totaled EUR </w:t>
      </w:r>
      <w:r w:rsidR="00334337">
        <w:rPr>
          <w:b/>
          <w:color w:val="0000FF"/>
          <w:sz w:val="22"/>
          <w:szCs w:val="22"/>
          <w:lang w:eastAsia="fr-FR"/>
        </w:rPr>
        <w:t>39</w:t>
      </w:r>
      <w:r w:rsidR="00600F2E">
        <w:rPr>
          <w:b/>
          <w:color w:val="0000FF"/>
          <w:sz w:val="22"/>
          <w:szCs w:val="22"/>
          <w:lang w:eastAsia="fr-FR"/>
        </w:rPr>
        <w:t xml:space="preserve"> billion</w:t>
      </w:r>
      <w:r w:rsidR="00B75D41">
        <w:rPr>
          <w:b/>
          <w:color w:val="0000FF"/>
          <w:sz w:val="22"/>
          <w:szCs w:val="22"/>
          <w:lang w:eastAsia="fr-FR"/>
        </w:rPr>
        <w:t xml:space="preserve"> </w:t>
      </w:r>
      <w:r w:rsidR="004C0182">
        <w:rPr>
          <w:b/>
          <w:color w:val="0000FF"/>
          <w:sz w:val="22"/>
          <w:szCs w:val="22"/>
          <w:lang w:eastAsia="fr-FR"/>
        </w:rPr>
        <w:t xml:space="preserve">in </w:t>
      </w:r>
      <w:r w:rsidR="00831CEF">
        <w:rPr>
          <w:b/>
          <w:color w:val="0000FF"/>
          <w:sz w:val="22"/>
          <w:szCs w:val="22"/>
          <w:lang w:eastAsia="fr-FR"/>
        </w:rPr>
        <w:t>Q</w:t>
      </w:r>
      <w:r w:rsidR="00334337">
        <w:rPr>
          <w:b/>
          <w:color w:val="0000FF"/>
          <w:sz w:val="22"/>
          <w:szCs w:val="22"/>
          <w:lang w:eastAsia="fr-FR"/>
        </w:rPr>
        <w:t>4</w:t>
      </w:r>
      <w:r w:rsidR="007F4395">
        <w:rPr>
          <w:b/>
          <w:color w:val="0000FF"/>
          <w:sz w:val="22"/>
          <w:szCs w:val="22"/>
          <w:lang w:eastAsia="fr-FR"/>
        </w:rPr>
        <w:t xml:space="preserve"> 2016</w:t>
      </w:r>
      <w:r w:rsidR="004C0182">
        <w:rPr>
          <w:b/>
          <w:color w:val="0000FF"/>
          <w:sz w:val="22"/>
          <w:szCs w:val="22"/>
          <w:lang w:eastAsia="fr-FR"/>
        </w:rPr>
        <w:t>,</w:t>
      </w:r>
      <w:r w:rsidR="007F4395">
        <w:rPr>
          <w:b/>
          <w:color w:val="0000FF"/>
          <w:sz w:val="22"/>
          <w:szCs w:val="22"/>
          <w:lang w:eastAsia="fr-FR"/>
        </w:rPr>
        <w:t xml:space="preserve"> </w:t>
      </w:r>
      <w:r w:rsidR="00334337">
        <w:rPr>
          <w:b/>
          <w:color w:val="0000FF"/>
          <w:sz w:val="22"/>
          <w:szCs w:val="22"/>
          <w:lang w:eastAsia="fr-FR"/>
        </w:rPr>
        <w:t>down from EUR 43</w:t>
      </w:r>
      <w:r w:rsidR="007C28E2">
        <w:rPr>
          <w:b/>
          <w:color w:val="0000FF"/>
          <w:sz w:val="22"/>
          <w:szCs w:val="22"/>
          <w:lang w:eastAsia="fr-FR"/>
        </w:rPr>
        <w:t xml:space="preserve"> </w:t>
      </w:r>
      <w:r w:rsidR="00A96D84">
        <w:rPr>
          <w:b/>
          <w:color w:val="0000FF"/>
          <w:sz w:val="22"/>
          <w:szCs w:val="22"/>
          <w:lang w:eastAsia="fr-FR"/>
        </w:rPr>
        <w:t xml:space="preserve">billion </w:t>
      </w:r>
      <w:r w:rsidR="004C0182">
        <w:rPr>
          <w:b/>
          <w:color w:val="0000FF"/>
          <w:sz w:val="22"/>
          <w:szCs w:val="22"/>
          <w:lang w:eastAsia="fr-FR"/>
        </w:rPr>
        <w:t xml:space="preserve">in </w:t>
      </w:r>
      <w:r w:rsidR="00334337">
        <w:rPr>
          <w:b/>
          <w:color w:val="0000FF"/>
          <w:sz w:val="22"/>
          <w:szCs w:val="22"/>
          <w:lang w:eastAsia="fr-FR"/>
        </w:rPr>
        <w:t>Q3</w:t>
      </w:r>
      <w:r w:rsidR="003F339C">
        <w:rPr>
          <w:b/>
          <w:color w:val="0000FF"/>
          <w:sz w:val="22"/>
          <w:szCs w:val="22"/>
          <w:lang w:eastAsia="fr-FR"/>
        </w:rPr>
        <w:t xml:space="preserve"> 201</w:t>
      </w:r>
      <w:r w:rsidR="00B75D41">
        <w:rPr>
          <w:b/>
          <w:color w:val="0000FF"/>
          <w:sz w:val="22"/>
          <w:szCs w:val="22"/>
          <w:lang w:eastAsia="fr-FR"/>
        </w:rPr>
        <w:t>6</w:t>
      </w:r>
      <w:r w:rsidR="003F339C">
        <w:rPr>
          <w:b/>
          <w:color w:val="0000FF"/>
          <w:sz w:val="22"/>
          <w:szCs w:val="22"/>
          <w:lang w:eastAsia="fr-FR"/>
        </w:rPr>
        <w:t>.</w:t>
      </w:r>
      <w:r w:rsidR="008E59D9">
        <w:rPr>
          <w:b/>
          <w:color w:val="0000FF"/>
          <w:sz w:val="22"/>
          <w:szCs w:val="22"/>
          <w:lang w:eastAsia="fr-FR"/>
        </w:rPr>
        <w:t xml:space="preserve"> </w:t>
      </w:r>
      <w:r w:rsidR="0027558D">
        <w:rPr>
          <w:color w:val="000000"/>
          <w:sz w:val="22"/>
          <w:szCs w:val="22"/>
          <w:lang w:eastAsia="fr-FR"/>
        </w:rPr>
        <w:t>All</w:t>
      </w:r>
      <w:r w:rsidR="007E4755">
        <w:rPr>
          <w:color w:val="000000"/>
          <w:sz w:val="22"/>
          <w:szCs w:val="22"/>
          <w:lang w:eastAsia="fr-FR"/>
        </w:rPr>
        <w:t xml:space="preserve"> </w:t>
      </w:r>
      <w:r w:rsidR="00334337">
        <w:rPr>
          <w:color w:val="000000"/>
          <w:sz w:val="22"/>
          <w:szCs w:val="22"/>
          <w:lang w:eastAsia="fr-FR"/>
        </w:rPr>
        <w:t xml:space="preserve">categories of </w:t>
      </w:r>
      <w:r w:rsidR="00171DDB">
        <w:rPr>
          <w:color w:val="000000"/>
          <w:sz w:val="22"/>
          <w:szCs w:val="22"/>
          <w:lang w:eastAsia="fr-FR"/>
        </w:rPr>
        <w:t>AIF</w:t>
      </w:r>
      <w:r w:rsidR="008E59D9">
        <w:rPr>
          <w:color w:val="000000"/>
          <w:sz w:val="22"/>
          <w:szCs w:val="22"/>
          <w:lang w:eastAsia="fr-FR"/>
        </w:rPr>
        <w:t xml:space="preserve">, except equity and bond funds, </w:t>
      </w:r>
      <w:r w:rsidR="00171DDB">
        <w:rPr>
          <w:color w:val="000000"/>
          <w:sz w:val="22"/>
          <w:szCs w:val="22"/>
          <w:lang w:eastAsia="fr-FR"/>
        </w:rPr>
        <w:t>registere</w:t>
      </w:r>
      <w:r w:rsidR="00334337">
        <w:rPr>
          <w:color w:val="000000"/>
          <w:sz w:val="22"/>
          <w:szCs w:val="22"/>
          <w:lang w:eastAsia="fr-FR"/>
        </w:rPr>
        <w:t>d positive net inflows during Q4 2016</w:t>
      </w:r>
      <w:r w:rsidR="008E59D9">
        <w:rPr>
          <w:color w:val="000000"/>
          <w:sz w:val="22"/>
          <w:szCs w:val="22"/>
          <w:lang w:eastAsia="fr-FR"/>
        </w:rPr>
        <w:t>.</w:t>
      </w:r>
    </w:p>
    <w:p w:rsidR="00171DDB" w:rsidRDefault="00171DDB" w:rsidP="007C28E2">
      <w:pPr>
        <w:spacing w:line="260" w:lineRule="atLeast"/>
        <w:jc w:val="both"/>
        <w:rPr>
          <w:color w:val="000000"/>
          <w:sz w:val="22"/>
          <w:szCs w:val="22"/>
          <w:lang w:eastAsia="fr-FR"/>
        </w:rPr>
      </w:pPr>
    </w:p>
    <w:p w:rsidR="0027129D" w:rsidRDefault="00346F5B" w:rsidP="00643B31">
      <w:pPr>
        <w:spacing w:line="260" w:lineRule="atLeast"/>
        <w:jc w:val="both"/>
        <w:rPr>
          <w:sz w:val="22"/>
          <w:szCs w:val="22"/>
          <w:lang w:eastAsia="fr-FR"/>
        </w:rPr>
      </w:pPr>
      <w:r>
        <w:rPr>
          <w:color w:val="000000"/>
          <w:sz w:val="22"/>
          <w:szCs w:val="22"/>
          <w:lang w:eastAsia="fr-FR"/>
        </w:rPr>
        <w:t>Fourteen</w:t>
      </w:r>
      <w:r w:rsidR="007F4395">
        <w:rPr>
          <w:color w:val="000000"/>
          <w:sz w:val="22"/>
          <w:szCs w:val="22"/>
          <w:lang w:eastAsia="fr-FR"/>
        </w:rPr>
        <w:t xml:space="preserve"> </w:t>
      </w:r>
      <w:r w:rsidR="000B3DB4">
        <w:rPr>
          <w:color w:val="000000"/>
          <w:sz w:val="22"/>
          <w:szCs w:val="22"/>
          <w:lang w:eastAsia="fr-FR"/>
        </w:rPr>
        <w:t>countries</w:t>
      </w:r>
      <w:r w:rsidR="006C65D8">
        <w:rPr>
          <w:color w:val="000000"/>
          <w:sz w:val="22"/>
          <w:szCs w:val="22"/>
          <w:lang w:eastAsia="fr-FR"/>
        </w:rPr>
        <w:t xml:space="preserve"> </w:t>
      </w:r>
      <w:r w:rsidR="000B3DB4">
        <w:rPr>
          <w:color w:val="000000"/>
          <w:sz w:val="22"/>
          <w:szCs w:val="22"/>
          <w:lang w:eastAsia="fr-FR"/>
        </w:rPr>
        <w:t>experienced</w:t>
      </w:r>
      <w:r w:rsidR="007C28E2" w:rsidRPr="007E43A2">
        <w:rPr>
          <w:color w:val="000000"/>
          <w:sz w:val="22"/>
          <w:szCs w:val="22"/>
          <w:lang w:eastAsia="fr-FR"/>
        </w:rPr>
        <w:t xml:space="preserve"> net inflows into </w:t>
      </w:r>
      <w:r w:rsidR="00D67209">
        <w:rPr>
          <w:color w:val="000000"/>
          <w:sz w:val="22"/>
          <w:szCs w:val="22"/>
          <w:lang w:eastAsia="fr-FR"/>
        </w:rPr>
        <w:t>AIF</w:t>
      </w:r>
      <w:r w:rsidR="007C28E2" w:rsidRPr="007E43A2">
        <w:rPr>
          <w:color w:val="000000"/>
          <w:sz w:val="22"/>
          <w:szCs w:val="22"/>
          <w:lang w:eastAsia="fr-FR"/>
        </w:rPr>
        <w:t xml:space="preserve"> in </w:t>
      </w:r>
      <w:r w:rsidR="00546917">
        <w:rPr>
          <w:color w:val="000000"/>
          <w:sz w:val="22"/>
          <w:szCs w:val="22"/>
          <w:lang w:eastAsia="fr-FR"/>
        </w:rPr>
        <w:t>Q4</w:t>
      </w:r>
      <w:r w:rsidR="004C0182">
        <w:rPr>
          <w:color w:val="000000"/>
          <w:sz w:val="22"/>
          <w:szCs w:val="22"/>
          <w:lang w:eastAsia="fr-FR"/>
        </w:rPr>
        <w:t xml:space="preserve"> </w:t>
      </w:r>
      <w:r w:rsidR="00CD493C">
        <w:rPr>
          <w:color w:val="000000"/>
          <w:sz w:val="22"/>
          <w:szCs w:val="22"/>
          <w:lang w:eastAsia="fr-FR"/>
        </w:rPr>
        <w:t>201</w:t>
      </w:r>
      <w:r w:rsidR="007F4395">
        <w:rPr>
          <w:color w:val="000000"/>
          <w:sz w:val="22"/>
          <w:szCs w:val="22"/>
          <w:lang w:eastAsia="fr-FR"/>
        </w:rPr>
        <w:t>6</w:t>
      </w:r>
      <w:r w:rsidR="004C748E">
        <w:rPr>
          <w:color w:val="000000"/>
          <w:sz w:val="22"/>
          <w:szCs w:val="22"/>
          <w:lang w:eastAsia="fr-FR"/>
        </w:rPr>
        <w:t xml:space="preserve">. </w:t>
      </w:r>
      <w:r w:rsidR="00A047A3">
        <w:rPr>
          <w:color w:val="000000"/>
          <w:sz w:val="22"/>
          <w:szCs w:val="22"/>
          <w:lang w:eastAsia="fr-FR"/>
        </w:rPr>
        <w:t xml:space="preserve"> </w:t>
      </w:r>
      <w:r w:rsidR="004C748E">
        <w:rPr>
          <w:color w:val="000000"/>
          <w:sz w:val="22"/>
          <w:szCs w:val="22"/>
          <w:lang w:eastAsia="fr-FR"/>
        </w:rPr>
        <w:t>The top five largest domiciles</w:t>
      </w:r>
      <w:r w:rsidR="00B16EB4">
        <w:rPr>
          <w:color w:val="000000"/>
          <w:sz w:val="22"/>
          <w:szCs w:val="22"/>
          <w:lang w:eastAsia="fr-FR"/>
        </w:rPr>
        <w:t xml:space="preserve"> registered net sales of AIF funds</w:t>
      </w:r>
      <w:r w:rsidR="00C72A06">
        <w:rPr>
          <w:color w:val="000000"/>
          <w:sz w:val="22"/>
          <w:szCs w:val="22"/>
          <w:lang w:eastAsia="fr-FR"/>
        </w:rPr>
        <w:t xml:space="preserve"> above EUR 1 billion</w:t>
      </w:r>
      <w:r w:rsidR="00546917">
        <w:rPr>
          <w:color w:val="000000"/>
          <w:sz w:val="22"/>
          <w:szCs w:val="22"/>
          <w:lang w:eastAsia="fr-FR"/>
        </w:rPr>
        <w:t>, with t</w:t>
      </w:r>
      <w:r w:rsidR="004C748E">
        <w:rPr>
          <w:color w:val="000000"/>
          <w:sz w:val="22"/>
          <w:szCs w:val="22"/>
          <w:lang w:eastAsia="fr-FR"/>
        </w:rPr>
        <w:t>he strongest</w:t>
      </w:r>
      <w:r w:rsidR="00B16EB4">
        <w:rPr>
          <w:color w:val="000000"/>
          <w:sz w:val="22"/>
          <w:szCs w:val="22"/>
          <w:lang w:eastAsia="fr-FR"/>
        </w:rPr>
        <w:t xml:space="preserve"> net flows </w:t>
      </w:r>
      <w:r w:rsidR="00546917">
        <w:rPr>
          <w:color w:val="000000"/>
          <w:sz w:val="22"/>
          <w:szCs w:val="22"/>
          <w:lang w:eastAsia="fr-FR"/>
        </w:rPr>
        <w:t xml:space="preserve">in Germany (EUR 30.2 billion), followed by Ireland (EUR 8.9 billion), Luxembourg (EUR 6.0 billion), France (EUR 3.9 billion) and the UK (EUR 2.5 billion). </w:t>
      </w:r>
      <w:r w:rsidR="00A047A3">
        <w:rPr>
          <w:color w:val="000000"/>
          <w:sz w:val="22"/>
          <w:szCs w:val="22"/>
          <w:lang w:eastAsia="fr-FR"/>
        </w:rPr>
        <w:t xml:space="preserve"> </w:t>
      </w:r>
      <w:r w:rsidR="00546917">
        <w:rPr>
          <w:color w:val="000000"/>
          <w:sz w:val="22"/>
          <w:szCs w:val="22"/>
          <w:lang w:eastAsia="fr-FR"/>
        </w:rPr>
        <w:t xml:space="preserve">Elsewhere in Europe, </w:t>
      </w:r>
      <w:r w:rsidR="00C72A06">
        <w:rPr>
          <w:color w:val="000000"/>
          <w:sz w:val="22"/>
          <w:szCs w:val="22"/>
          <w:lang w:eastAsia="fr-FR"/>
        </w:rPr>
        <w:t>n</w:t>
      </w:r>
      <w:r w:rsidR="00C72A06">
        <w:rPr>
          <w:sz w:val="22"/>
          <w:szCs w:val="22"/>
          <w:lang w:eastAsia="fr-FR"/>
        </w:rPr>
        <w:t>et sales gre</w:t>
      </w:r>
      <w:r w:rsidR="00647670">
        <w:rPr>
          <w:sz w:val="22"/>
          <w:szCs w:val="22"/>
          <w:lang w:eastAsia="fr-FR"/>
        </w:rPr>
        <w:t xml:space="preserve">ater than EUR 1 billion were </w:t>
      </w:r>
      <w:r w:rsidR="00C72A06">
        <w:rPr>
          <w:sz w:val="22"/>
          <w:szCs w:val="22"/>
          <w:lang w:eastAsia="fr-FR"/>
        </w:rPr>
        <w:t xml:space="preserve">recorded in </w:t>
      </w:r>
      <w:r w:rsidR="006F0613">
        <w:rPr>
          <w:sz w:val="22"/>
          <w:szCs w:val="22"/>
          <w:lang w:eastAsia="fr-FR"/>
        </w:rPr>
        <w:t>Spain (EUR 3.2 billion) with the largest outflows recorded in the Netherlands (EUR 10.7 billion).</w:t>
      </w:r>
    </w:p>
    <w:p w:rsidR="00460AFC" w:rsidRDefault="00460AFC" w:rsidP="00643B31">
      <w:pPr>
        <w:spacing w:line="260" w:lineRule="atLeast"/>
        <w:jc w:val="both"/>
        <w:rPr>
          <w:sz w:val="22"/>
          <w:szCs w:val="22"/>
          <w:lang w:eastAsia="fr-FR"/>
        </w:rPr>
      </w:pPr>
    </w:p>
    <w:p w:rsidR="00460AFC" w:rsidRPr="008C2583" w:rsidRDefault="00460AFC" w:rsidP="00643B31">
      <w:pPr>
        <w:spacing w:line="260" w:lineRule="atLeast"/>
        <w:jc w:val="both"/>
        <w:rPr>
          <w:b/>
          <w:bCs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z w:val="22"/>
          <w:szCs w:val="22"/>
          <w:lang w:eastAsia="fr-FR"/>
        </w:rPr>
        <w:t>Six countries ended the year with cumulative net sales greater than E</w:t>
      </w:r>
      <w:r w:rsidR="004C748E">
        <w:rPr>
          <w:sz w:val="22"/>
          <w:szCs w:val="22"/>
          <w:lang w:eastAsia="fr-FR"/>
        </w:rPr>
        <w:t>UR 10 billion: Germany (EUR 98</w:t>
      </w:r>
      <w:r>
        <w:rPr>
          <w:sz w:val="22"/>
          <w:szCs w:val="22"/>
          <w:lang w:eastAsia="fr-FR"/>
        </w:rPr>
        <w:t xml:space="preserve"> billion), Luxembourg (EUR </w:t>
      </w:r>
      <w:r w:rsidR="004C748E">
        <w:rPr>
          <w:sz w:val="22"/>
          <w:szCs w:val="22"/>
          <w:lang w:eastAsia="fr-FR"/>
        </w:rPr>
        <w:t>26 billion), Ireland (EUR 23</w:t>
      </w:r>
      <w:r>
        <w:rPr>
          <w:sz w:val="22"/>
          <w:szCs w:val="22"/>
          <w:lang w:eastAsia="fr-FR"/>
        </w:rPr>
        <w:t xml:space="preserve"> bil</w:t>
      </w:r>
      <w:r w:rsidR="004C748E">
        <w:rPr>
          <w:sz w:val="22"/>
          <w:szCs w:val="22"/>
          <w:lang w:eastAsia="fr-FR"/>
        </w:rPr>
        <w:t>lion), the Netherlands (EUR 14 billion), France (EUR 14</w:t>
      </w:r>
      <w:r w:rsidR="00606A8D">
        <w:rPr>
          <w:sz w:val="22"/>
          <w:szCs w:val="22"/>
          <w:lang w:eastAsia="fr-FR"/>
        </w:rPr>
        <w:t xml:space="preserve"> billion) and Spain (EUR 10</w:t>
      </w:r>
      <w:r>
        <w:rPr>
          <w:sz w:val="22"/>
          <w:szCs w:val="22"/>
          <w:lang w:eastAsia="fr-FR"/>
        </w:rPr>
        <w:t xml:space="preserve"> billion).</w:t>
      </w:r>
    </w:p>
    <w:p w:rsidR="009D14F0" w:rsidRPr="008C2583" w:rsidRDefault="00EA1CB6" w:rsidP="009D14F0">
      <w:pPr>
        <w:pStyle w:val="Footer"/>
        <w:jc w:val="center"/>
        <w:outlineLvl w:val="0"/>
        <w:rPr>
          <w:b/>
          <w:bCs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1CB6">
        <w:rPr>
          <w:noProof/>
          <w:lang w:val="en-US"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85060</wp:posOffset>
            </wp:positionH>
            <wp:positionV relativeFrom="paragraph">
              <wp:posOffset>300251</wp:posOffset>
            </wp:positionV>
            <wp:extent cx="6138000" cy="4716000"/>
            <wp:effectExtent l="0" t="0" r="0" b="889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000" cy="47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255A" w:rsidRPr="00C6255A">
        <w:t xml:space="preserve"> </w:t>
      </w:r>
      <w:r w:rsidR="007D0432">
        <w:br w:type="page"/>
      </w:r>
      <w:r w:rsidR="009D14F0" w:rsidRPr="008C2583">
        <w:rPr>
          <w:b/>
          <w:bCs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Trends in the AIF Market</w:t>
      </w:r>
    </w:p>
    <w:p w:rsidR="009D14F0" w:rsidRPr="00EA222B" w:rsidRDefault="00024985" w:rsidP="009D14F0">
      <w:pPr>
        <w:pStyle w:val="Footer"/>
        <w:tabs>
          <w:tab w:val="clear" w:pos="4320"/>
          <w:tab w:val="clear" w:pos="8640"/>
          <w:tab w:val="left" w:pos="4185"/>
        </w:tabs>
        <w:spacing w:line="260" w:lineRule="exact"/>
        <w:jc w:val="center"/>
        <w:rPr>
          <w:i/>
          <w:iCs/>
          <w:sz w:val="22"/>
          <w:szCs w:val="22"/>
          <w:lang w:val="en-US"/>
        </w:rPr>
      </w:pPr>
      <w:r w:rsidRPr="008C2583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Net Assets</w:t>
      </w:r>
      <w:r w:rsidR="009D14F0" w:rsidRPr="008C2583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by Investment Type</w:t>
      </w:r>
    </w:p>
    <w:p w:rsidR="009D14F0" w:rsidRPr="00EA222B" w:rsidRDefault="009D14F0" w:rsidP="009D14F0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</w:p>
    <w:p w:rsidR="009D14F0" w:rsidRPr="00EA222B" w:rsidRDefault="009D14F0" w:rsidP="009D14F0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bCs/>
          <w:color w:val="0000FF"/>
          <w:sz w:val="22"/>
          <w:szCs w:val="22"/>
          <w:lang w:val="en-US"/>
        </w:rPr>
      </w:pPr>
      <w:r w:rsidRPr="00EA222B">
        <w:rPr>
          <w:b/>
          <w:bCs/>
          <w:color w:val="0000FF"/>
          <w:sz w:val="22"/>
          <w:szCs w:val="22"/>
          <w:lang w:val="en-US"/>
        </w:rPr>
        <w:t xml:space="preserve">Net assets of </w:t>
      </w:r>
      <w:r w:rsidR="00D67209">
        <w:rPr>
          <w:b/>
          <w:bCs/>
          <w:color w:val="0000FF"/>
          <w:sz w:val="22"/>
          <w:szCs w:val="22"/>
          <w:lang w:val="en-US"/>
        </w:rPr>
        <w:t>AIF</w:t>
      </w:r>
      <w:r w:rsidR="00A82FFD">
        <w:rPr>
          <w:b/>
          <w:bCs/>
          <w:color w:val="0000FF"/>
          <w:sz w:val="22"/>
          <w:szCs w:val="22"/>
          <w:lang w:val="en-US"/>
        </w:rPr>
        <w:t xml:space="preserve"> increased by 1.7</w:t>
      </w:r>
      <w:r w:rsidR="008B480B">
        <w:rPr>
          <w:b/>
          <w:bCs/>
          <w:color w:val="0000FF"/>
          <w:sz w:val="22"/>
          <w:szCs w:val="22"/>
          <w:lang w:val="en-US"/>
        </w:rPr>
        <w:t xml:space="preserve"> percent during the</w:t>
      </w:r>
      <w:r w:rsidR="00097675">
        <w:rPr>
          <w:b/>
          <w:bCs/>
          <w:color w:val="0000FF"/>
          <w:sz w:val="22"/>
          <w:szCs w:val="22"/>
          <w:lang w:val="en-US"/>
        </w:rPr>
        <w:t xml:space="preserve"> fourth</w:t>
      </w:r>
      <w:r w:rsidR="008B480B">
        <w:rPr>
          <w:b/>
          <w:bCs/>
          <w:color w:val="0000FF"/>
          <w:sz w:val="22"/>
          <w:szCs w:val="22"/>
          <w:lang w:val="en-US"/>
        </w:rPr>
        <w:t xml:space="preserve"> quarter</w:t>
      </w:r>
      <w:r w:rsidR="00C31E4E">
        <w:rPr>
          <w:b/>
          <w:bCs/>
          <w:color w:val="0000FF"/>
          <w:sz w:val="22"/>
          <w:szCs w:val="22"/>
          <w:lang w:val="en-US"/>
        </w:rPr>
        <w:t xml:space="preserve"> to end the year at EUR 5,483</w:t>
      </w:r>
      <w:r w:rsidR="00A82FFD">
        <w:rPr>
          <w:b/>
          <w:bCs/>
          <w:color w:val="0000FF"/>
          <w:sz w:val="22"/>
          <w:szCs w:val="22"/>
          <w:lang w:val="en-US"/>
        </w:rPr>
        <w:t xml:space="preserve"> billion.</w:t>
      </w:r>
      <w:r w:rsidRPr="00EA222B">
        <w:rPr>
          <w:b/>
          <w:bCs/>
          <w:color w:val="0000FF"/>
          <w:sz w:val="22"/>
          <w:szCs w:val="22"/>
          <w:lang w:val="en-US"/>
        </w:rPr>
        <w:t xml:space="preserve"> </w:t>
      </w:r>
    </w:p>
    <w:p w:rsidR="009D14F0" w:rsidRPr="00EA222B" w:rsidRDefault="009D14F0" w:rsidP="009D14F0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bCs/>
          <w:color w:val="0000FF"/>
          <w:sz w:val="22"/>
          <w:szCs w:val="22"/>
          <w:lang w:val="en-US"/>
        </w:rPr>
      </w:pPr>
    </w:p>
    <w:p w:rsidR="004A6124" w:rsidRPr="00402E38" w:rsidRDefault="00D021F0" w:rsidP="004A6124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In </w:t>
      </w:r>
      <w:r w:rsidR="00A82FFD">
        <w:rPr>
          <w:color w:val="000000"/>
          <w:sz w:val="22"/>
          <w:szCs w:val="22"/>
        </w:rPr>
        <w:t>Q4</w:t>
      </w:r>
      <w:r>
        <w:rPr>
          <w:color w:val="000000"/>
          <w:sz w:val="22"/>
          <w:szCs w:val="22"/>
        </w:rPr>
        <w:t xml:space="preserve"> 2016, </w:t>
      </w:r>
      <w:r w:rsidR="008B480B">
        <w:rPr>
          <w:color w:val="000000"/>
          <w:sz w:val="22"/>
          <w:szCs w:val="22"/>
        </w:rPr>
        <w:t xml:space="preserve">all but one category </w:t>
      </w:r>
      <w:r w:rsidR="0011606B">
        <w:rPr>
          <w:color w:val="000000"/>
          <w:sz w:val="22"/>
          <w:szCs w:val="22"/>
        </w:rPr>
        <w:t xml:space="preserve">of </w:t>
      </w:r>
      <w:r w:rsidR="009E1EA1">
        <w:rPr>
          <w:color w:val="000000"/>
          <w:sz w:val="22"/>
          <w:szCs w:val="22"/>
        </w:rPr>
        <w:t xml:space="preserve">AIF </w:t>
      </w:r>
      <w:r w:rsidR="001B2438">
        <w:rPr>
          <w:color w:val="000000"/>
          <w:sz w:val="22"/>
          <w:szCs w:val="22"/>
        </w:rPr>
        <w:t>recorded net asset growth</w:t>
      </w:r>
      <w:r w:rsidR="00606A8D">
        <w:rPr>
          <w:color w:val="000000"/>
          <w:sz w:val="22"/>
          <w:szCs w:val="22"/>
        </w:rPr>
        <w:t xml:space="preserve"> in Q4 2016. </w:t>
      </w:r>
      <w:r w:rsidR="00A047A3">
        <w:rPr>
          <w:color w:val="000000"/>
          <w:sz w:val="22"/>
          <w:szCs w:val="22"/>
        </w:rPr>
        <w:t xml:space="preserve"> </w:t>
      </w:r>
      <w:r w:rsidR="00606A8D">
        <w:rPr>
          <w:color w:val="000000"/>
          <w:sz w:val="22"/>
          <w:szCs w:val="22"/>
        </w:rPr>
        <w:t>Guaranteed</w:t>
      </w:r>
      <w:r w:rsidR="00A82FFD">
        <w:rPr>
          <w:color w:val="000000"/>
          <w:sz w:val="22"/>
          <w:szCs w:val="22"/>
        </w:rPr>
        <w:t xml:space="preserve"> funds recorded the largest growth (4.6</w:t>
      </w:r>
      <w:r w:rsidR="009C315C">
        <w:rPr>
          <w:color w:val="000000"/>
          <w:sz w:val="22"/>
          <w:szCs w:val="22"/>
        </w:rPr>
        <w:t>%)</w:t>
      </w:r>
      <w:r w:rsidR="001B2438">
        <w:rPr>
          <w:color w:val="000000"/>
          <w:sz w:val="22"/>
          <w:szCs w:val="22"/>
        </w:rPr>
        <w:t xml:space="preserve">, </w:t>
      </w:r>
      <w:r w:rsidR="009C315C">
        <w:rPr>
          <w:color w:val="000000"/>
          <w:sz w:val="22"/>
          <w:szCs w:val="22"/>
        </w:rPr>
        <w:t>followed by</w:t>
      </w:r>
      <w:r w:rsidR="00A82FFD">
        <w:rPr>
          <w:color w:val="000000"/>
          <w:sz w:val="22"/>
          <w:szCs w:val="22"/>
        </w:rPr>
        <w:t xml:space="preserve"> real estate (4.5</w:t>
      </w:r>
      <w:r w:rsidR="009C315C">
        <w:rPr>
          <w:color w:val="000000"/>
          <w:sz w:val="22"/>
          <w:szCs w:val="22"/>
        </w:rPr>
        <w:t xml:space="preserve">%), </w:t>
      </w:r>
      <w:r w:rsidR="00A82FFD">
        <w:rPr>
          <w:color w:val="000000"/>
          <w:sz w:val="22"/>
          <w:szCs w:val="22"/>
        </w:rPr>
        <w:t>e</w:t>
      </w:r>
      <w:r w:rsidR="00606A8D">
        <w:rPr>
          <w:color w:val="000000"/>
          <w:sz w:val="22"/>
          <w:szCs w:val="22"/>
        </w:rPr>
        <w:t>quity (4.0%), money market</w:t>
      </w:r>
      <w:r w:rsidR="00A82FFD">
        <w:rPr>
          <w:color w:val="000000"/>
          <w:sz w:val="22"/>
          <w:szCs w:val="22"/>
        </w:rPr>
        <w:t xml:space="preserve"> (3.3</w:t>
      </w:r>
      <w:r w:rsidR="009C315C">
        <w:rPr>
          <w:color w:val="000000"/>
          <w:sz w:val="22"/>
          <w:szCs w:val="22"/>
        </w:rPr>
        <w:t>%)</w:t>
      </w:r>
      <w:r w:rsidR="00A82FFD">
        <w:rPr>
          <w:color w:val="000000"/>
          <w:sz w:val="22"/>
          <w:szCs w:val="22"/>
        </w:rPr>
        <w:t xml:space="preserve"> and multi-asset funds (1.4%). </w:t>
      </w:r>
      <w:r w:rsidR="00A047A3">
        <w:rPr>
          <w:color w:val="000000"/>
          <w:sz w:val="22"/>
          <w:szCs w:val="22"/>
        </w:rPr>
        <w:t xml:space="preserve"> </w:t>
      </w:r>
      <w:r w:rsidR="00A82FFD">
        <w:rPr>
          <w:color w:val="000000"/>
          <w:sz w:val="22"/>
          <w:szCs w:val="22"/>
        </w:rPr>
        <w:t>Net assets of bond fun</w:t>
      </w:r>
      <w:r w:rsidR="00606A8D">
        <w:rPr>
          <w:color w:val="000000"/>
          <w:sz w:val="22"/>
          <w:szCs w:val="22"/>
        </w:rPr>
        <w:t>ds decreased 2.6 percent in Q4</w:t>
      </w:r>
      <w:r w:rsidR="00A82FFD">
        <w:rPr>
          <w:color w:val="000000"/>
          <w:sz w:val="22"/>
          <w:szCs w:val="22"/>
        </w:rPr>
        <w:t xml:space="preserve"> 2016. </w:t>
      </w:r>
      <w:r w:rsidR="00A047A3">
        <w:rPr>
          <w:color w:val="000000"/>
          <w:sz w:val="22"/>
          <w:szCs w:val="22"/>
        </w:rPr>
        <w:t xml:space="preserve"> </w:t>
      </w:r>
      <w:r w:rsidR="009C315C">
        <w:rPr>
          <w:color w:val="000000"/>
          <w:sz w:val="22"/>
          <w:szCs w:val="22"/>
        </w:rPr>
        <w:t xml:space="preserve">Net assets of other </w:t>
      </w:r>
      <w:r w:rsidR="004A6124" w:rsidRPr="00E4443A">
        <w:rPr>
          <w:color w:val="000000"/>
          <w:sz w:val="22"/>
          <w:szCs w:val="22"/>
        </w:rPr>
        <w:t>AIF, which include AIF funds for which no breakdown according to the underlying fund ca</w:t>
      </w:r>
      <w:r w:rsidR="009C315C">
        <w:rPr>
          <w:color w:val="000000"/>
          <w:sz w:val="22"/>
          <w:szCs w:val="22"/>
        </w:rPr>
        <w:t>tegories is avail</w:t>
      </w:r>
      <w:r w:rsidR="00A82FFD">
        <w:rPr>
          <w:color w:val="000000"/>
          <w:sz w:val="22"/>
          <w:szCs w:val="22"/>
        </w:rPr>
        <w:t>able, grew 2.7 percent</w:t>
      </w:r>
      <w:r w:rsidR="00647670">
        <w:rPr>
          <w:color w:val="000000"/>
          <w:sz w:val="22"/>
          <w:szCs w:val="22"/>
        </w:rPr>
        <w:t>.</w:t>
      </w:r>
    </w:p>
    <w:p w:rsidR="00D021F0" w:rsidRPr="005E3B02" w:rsidRDefault="00D021F0" w:rsidP="009D14F0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</w:rPr>
      </w:pPr>
    </w:p>
    <w:p w:rsidR="009C315C" w:rsidRDefault="007F78B5" w:rsidP="009D14F0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The</w:t>
      </w:r>
      <w:r w:rsidR="00A779D6">
        <w:rPr>
          <w:color w:val="000000"/>
          <w:sz w:val="22"/>
          <w:szCs w:val="22"/>
          <w:lang w:val="en-US"/>
        </w:rPr>
        <w:t>re were 27,788</w:t>
      </w:r>
      <w:r w:rsidR="001B2438">
        <w:rPr>
          <w:color w:val="000000"/>
          <w:sz w:val="22"/>
          <w:szCs w:val="22"/>
          <w:lang w:val="en-US"/>
        </w:rPr>
        <w:t xml:space="preserve"> AIF funds </w:t>
      </w:r>
      <w:r w:rsidR="009C315C">
        <w:rPr>
          <w:color w:val="000000"/>
          <w:sz w:val="22"/>
          <w:szCs w:val="22"/>
          <w:lang w:val="en-US"/>
        </w:rPr>
        <w:t>at end Q</w:t>
      </w:r>
      <w:r w:rsidR="00A779D6">
        <w:rPr>
          <w:color w:val="000000"/>
          <w:sz w:val="22"/>
          <w:szCs w:val="22"/>
          <w:lang w:val="en-US"/>
        </w:rPr>
        <w:t>4</w:t>
      </w:r>
      <w:r w:rsidR="009C315C">
        <w:rPr>
          <w:color w:val="000000"/>
          <w:sz w:val="22"/>
          <w:szCs w:val="22"/>
          <w:lang w:val="en-US"/>
        </w:rPr>
        <w:t xml:space="preserve"> 2016, compared to </w:t>
      </w:r>
      <w:r w:rsidR="00A779D6">
        <w:rPr>
          <w:color w:val="000000"/>
          <w:sz w:val="22"/>
          <w:szCs w:val="22"/>
          <w:lang w:val="en-US"/>
        </w:rPr>
        <w:t>27,727</w:t>
      </w:r>
      <w:r w:rsidR="009C315C">
        <w:rPr>
          <w:color w:val="000000"/>
          <w:sz w:val="22"/>
          <w:szCs w:val="22"/>
          <w:lang w:val="en-US"/>
        </w:rPr>
        <w:t xml:space="preserve"> at end Q4 2015. </w:t>
      </w:r>
    </w:p>
    <w:p w:rsidR="00C04091" w:rsidRPr="008C2583" w:rsidRDefault="00C04091" w:rsidP="00FA63F0">
      <w:pPr>
        <w:pStyle w:val="Footer"/>
        <w:jc w:val="center"/>
        <w:outlineLvl w:val="0"/>
        <w:rPr>
          <w:b/>
          <w:bCs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04091" w:rsidRPr="00C04091" w:rsidRDefault="006758C8" w:rsidP="00C04091">
      <w:pPr>
        <w:rPr>
          <w:lang w:val="en-GB"/>
        </w:rPr>
      </w:pPr>
      <w:r w:rsidRPr="006758C8">
        <w:rPr>
          <w:noProof/>
        </w:rPr>
        <w:drawing>
          <wp:anchor distT="0" distB="0" distL="114300" distR="114300" simplePos="0" relativeHeight="251808768" behindDoc="0" locked="0" layoutInCell="1" allowOverlap="1">
            <wp:simplePos x="0" y="0"/>
            <wp:positionH relativeFrom="column">
              <wp:posOffset>818707</wp:posOffset>
            </wp:positionH>
            <wp:positionV relativeFrom="paragraph">
              <wp:posOffset>29992</wp:posOffset>
            </wp:positionV>
            <wp:extent cx="4928400" cy="6318000"/>
            <wp:effectExtent l="0" t="0" r="5715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400" cy="6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4091" w:rsidRDefault="00C04091" w:rsidP="00FA63F0">
      <w:pPr>
        <w:pStyle w:val="Footer"/>
        <w:jc w:val="center"/>
        <w:outlineLvl w:val="0"/>
      </w:pPr>
    </w:p>
    <w:p w:rsidR="00C04091" w:rsidRDefault="00C04091" w:rsidP="00C04091">
      <w:pPr>
        <w:pStyle w:val="Footer"/>
        <w:tabs>
          <w:tab w:val="left" w:pos="4215"/>
        </w:tabs>
        <w:outlineLvl w:val="0"/>
      </w:pPr>
      <w:r>
        <w:tab/>
      </w:r>
      <w:r>
        <w:tab/>
      </w:r>
    </w:p>
    <w:p w:rsidR="00FA63F0" w:rsidRPr="008C2583" w:rsidRDefault="00A6458D" w:rsidP="00FA63F0">
      <w:pPr>
        <w:pStyle w:val="Footer"/>
        <w:jc w:val="center"/>
        <w:outlineLvl w:val="0"/>
        <w:rPr>
          <w:b/>
          <w:bCs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04091">
        <w:br w:type="page"/>
      </w:r>
      <w:r w:rsidR="007C30BC" w:rsidRPr="008C2583">
        <w:rPr>
          <w:b/>
          <w:bCs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Trends in the AIF</w:t>
      </w:r>
      <w:r w:rsidR="00FA63F0" w:rsidRPr="008C2583">
        <w:rPr>
          <w:b/>
          <w:bCs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Market</w:t>
      </w:r>
    </w:p>
    <w:p w:rsidR="00FA63F0" w:rsidRPr="00A5108A" w:rsidRDefault="00FA63F0" w:rsidP="00FA63F0">
      <w:pPr>
        <w:pStyle w:val="Footer"/>
        <w:tabs>
          <w:tab w:val="clear" w:pos="4320"/>
          <w:tab w:val="clear" w:pos="8640"/>
          <w:tab w:val="left" w:pos="4185"/>
        </w:tabs>
        <w:spacing w:line="260" w:lineRule="exact"/>
        <w:jc w:val="center"/>
        <w:rPr>
          <w:i/>
          <w:iCs/>
          <w:sz w:val="22"/>
          <w:szCs w:val="22"/>
          <w:lang w:val="en-US"/>
        </w:rPr>
      </w:pPr>
      <w:r w:rsidRPr="008C2583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Net Sales and </w:t>
      </w:r>
      <w:r w:rsidR="002B5177" w:rsidRPr="008C2583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Assets of</w:t>
      </w:r>
      <w:r w:rsidR="007F4664" w:rsidRPr="008C2583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Institutional </w:t>
      </w:r>
      <w:r w:rsidR="00D67209" w:rsidRPr="008C2583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AIF</w:t>
      </w:r>
    </w:p>
    <w:p w:rsidR="00FA63F0" w:rsidRPr="00A5108A" w:rsidRDefault="00FA63F0" w:rsidP="00FA63F0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</w:p>
    <w:p w:rsidR="00221202" w:rsidRDefault="00BC0701" w:rsidP="00FA63F0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bCs/>
          <w:color w:val="0000FF"/>
          <w:sz w:val="22"/>
          <w:szCs w:val="22"/>
          <w:lang w:val="en-US"/>
        </w:rPr>
      </w:pPr>
      <w:r w:rsidRPr="00A5108A">
        <w:rPr>
          <w:b/>
          <w:bCs/>
          <w:color w:val="0000FF"/>
          <w:sz w:val="22"/>
          <w:szCs w:val="22"/>
          <w:lang w:val="en-US"/>
        </w:rPr>
        <w:t>Net assets of i</w:t>
      </w:r>
      <w:r w:rsidR="007F4664" w:rsidRPr="00A5108A">
        <w:rPr>
          <w:b/>
          <w:bCs/>
          <w:color w:val="0000FF"/>
          <w:sz w:val="22"/>
          <w:szCs w:val="22"/>
          <w:lang w:val="en-US"/>
        </w:rPr>
        <w:t xml:space="preserve">nstitutional </w:t>
      </w:r>
      <w:r w:rsidR="00D67209" w:rsidRPr="00A5108A">
        <w:rPr>
          <w:b/>
          <w:bCs/>
          <w:color w:val="0000FF"/>
          <w:sz w:val="22"/>
          <w:szCs w:val="22"/>
          <w:lang w:val="en-US"/>
        </w:rPr>
        <w:t>AIF</w:t>
      </w:r>
      <w:r w:rsidR="002B5177" w:rsidRPr="00A5108A">
        <w:rPr>
          <w:b/>
          <w:bCs/>
          <w:color w:val="0000FF"/>
          <w:sz w:val="22"/>
          <w:szCs w:val="22"/>
          <w:lang w:val="en-US"/>
        </w:rPr>
        <w:t>, which are AIF reserved for</w:t>
      </w:r>
      <w:r w:rsidR="007F4664" w:rsidRPr="00A5108A">
        <w:rPr>
          <w:b/>
          <w:bCs/>
          <w:color w:val="0000FF"/>
          <w:sz w:val="22"/>
          <w:szCs w:val="22"/>
          <w:lang w:val="en-US"/>
        </w:rPr>
        <w:t xml:space="preserve"> institutional investor</w:t>
      </w:r>
      <w:r w:rsidR="002B5177" w:rsidRPr="00A5108A">
        <w:rPr>
          <w:b/>
          <w:bCs/>
          <w:color w:val="0000FF"/>
          <w:sz w:val="22"/>
          <w:szCs w:val="22"/>
          <w:lang w:val="en-US"/>
        </w:rPr>
        <w:t>s</w:t>
      </w:r>
      <w:r w:rsidR="00097675">
        <w:rPr>
          <w:b/>
          <w:bCs/>
          <w:color w:val="0000FF"/>
          <w:sz w:val="22"/>
          <w:szCs w:val="22"/>
          <w:lang w:val="en-US"/>
        </w:rPr>
        <w:t>,</w:t>
      </w:r>
      <w:r w:rsidR="00FA63F0" w:rsidRPr="00A5108A">
        <w:rPr>
          <w:b/>
          <w:bCs/>
          <w:color w:val="0000FF"/>
          <w:sz w:val="22"/>
          <w:szCs w:val="22"/>
          <w:lang w:val="en-US"/>
        </w:rPr>
        <w:t xml:space="preserve"> </w:t>
      </w:r>
      <w:r w:rsidR="00B76F37">
        <w:rPr>
          <w:b/>
          <w:bCs/>
          <w:color w:val="0000FF"/>
          <w:sz w:val="22"/>
          <w:szCs w:val="22"/>
          <w:lang w:val="en-US"/>
        </w:rPr>
        <w:t>increased</w:t>
      </w:r>
      <w:r w:rsidR="00292DC3" w:rsidRPr="00A5108A">
        <w:rPr>
          <w:b/>
          <w:bCs/>
          <w:color w:val="0000FF"/>
          <w:sz w:val="22"/>
          <w:szCs w:val="22"/>
          <w:lang w:val="en-US"/>
        </w:rPr>
        <w:t xml:space="preserve"> </w:t>
      </w:r>
      <w:r w:rsidR="003B64BC">
        <w:rPr>
          <w:b/>
          <w:bCs/>
          <w:color w:val="0000FF"/>
          <w:sz w:val="22"/>
          <w:szCs w:val="22"/>
          <w:lang w:val="en-US"/>
        </w:rPr>
        <w:t>1.1</w:t>
      </w:r>
      <w:r w:rsidR="00292DC3" w:rsidRPr="00A5108A">
        <w:rPr>
          <w:b/>
          <w:bCs/>
          <w:color w:val="0000FF"/>
          <w:sz w:val="22"/>
          <w:szCs w:val="22"/>
          <w:lang w:val="en-US"/>
        </w:rPr>
        <w:t>%</w:t>
      </w:r>
      <w:r w:rsidR="00097675">
        <w:rPr>
          <w:b/>
          <w:bCs/>
          <w:color w:val="0000FF"/>
          <w:sz w:val="22"/>
          <w:szCs w:val="22"/>
          <w:lang w:val="en-US"/>
        </w:rPr>
        <w:t xml:space="preserve"> during the fourth quar</w:t>
      </w:r>
      <w:r w:rsidR="003B64BC">
        <w:rPr>
          <w:b/>
          <w:bCs/>
          <w:color w:val="0000FF"/>
          <w:sz w:val="22"/>
          <w:szCs w:val="22"/>
          <w:lang w:val="en-US"/>
        </w:rPr>
        <w:t>ter to end the year at EUR 2,636</w:t>
      </w:r>
      <w:r w:rsidR="00097675">
        <w:rPr>
          <w:b/>
          <w:bCs/>
          <w:color w:val="0000FF"/>
          <w:sz w:val="22"/>
          <w:szCs w:val="22"/>
          <w:lang w:val="en-US"/>
        </w:rPr>
        <w:t xml:space="preserve"> billion.</w:t>
      </w:r>
    </w:p>
    <w:p w:rsidR="00BC0701" w:rsidRPr="00A5108A" w:rsidRDefault="00BC0701" w:rsidP="00FA63F0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bCs/>
          <w:color w:val="0000FF"/>
          <w:sz w:val="22"/>
          <w:szCs w:val="22"/>
          <w:lang w:val="en-US"/>
        </w:rPr>
      </w:pPr>
    </w:p>
    <w:p w:rsidR="004538B6" w:rsidRPr="00A5108A" w:rsidRDefault="00486FD6" w:rsidP="00FA63F0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</w:rPr>
      </w:pPr>
      <w:r w:rsidRPr="00A5108A">
        <w:rPr>
          <w:color w:val="000000"/>
          <w:sz w:val="22"/>
          <w:szCs w:val="22"/>
        </w:rPr>
        <w:t>Net</w:t>
      </w:r>
      <w:r w:rsidRPr="00A5108A">
        <w:rPr>
          <w:bCs/>
          <w:color w:val="000000"/>
          <w:sz w:val="22"/>
          <w:szCs w:val="22"/>
          <w:lang w:val="en-US"/>
        </w:rPr>
        <w:t xml:space="preserve"> assets of </w:t>
      </w:r>
      <w:r w:rsidR="003357FA" w:rsidRPr="00A5108A">
        <w:rPr>
          <w:bCs/>
          <w:color w:val="000000"/>
          <w:sz w:val="22"/>
          <w:szCs w:val="22"/>
          <w:lang w:val="en-US"/>
        </w:rPr>
        <w:t xml:space="preserve">institutional equity funds </w:t>
      </w:r>
      <w:r w:rsidR="00DD7BD6">
        <w:rPr>
          <w:bCs/>
          <w:color w:val="000000"/>
          <w:sz w:val="22"/>
          <w:szCs w:val="22"/>
          <w:lang w:val="en-US"/>
        </w:rPr>
        <w:t>incr</w:t>
      </w:r>
      <w:r w:rsidR="00146147">
        <w:rPr>
          <w:bCs/>
          <w:color w:val="000000"/>
          <w:sz w:val="22"/>
          <w:szCs w:val="22"/>
          <w:lang w:val="en-US"/>
        </w:rPr>
        <w:t>e</w:t>
      </w:r>
      <w:r w:rsidR="001B2438">
        <w:rPr>
          <w:bCs/>
          <w:color w:val="000000"/>
          <w:sz w:val="22"/>
          <w:szCs w:val="22"/>
          <w:lang w:val="en-US"/>
        </w:rPr>
        <w:t>ased</w:t>
      </w:r>
      <w:r w:rsidR="000003D0">
        <w:rPr>
          <w:bCs/>
          <w:color w:val="000000"/>
          <w:sz w:val="22"/>
          <w:szCs w:val="22"/>
          <w:lang w:val="en-US"/>
        </w:rPr>
        <w:t xml:space="preserve"> 3.1 percent</w:t>
      </w:r>
      <w:r w:rsidR="003357FA" w:rsidRPr="00A5108A">
        <w:rPr>
          <w:bCs/>
          <w:color w:val="000000"/>
          <w:sz w:val="22"/>
          <w:szCs w:val="22"/>
          <w:lang w:val="en-US"/>
        </w:rPr>
        <w:t xml:space="preserve"> to</w:t>
      </w:r>
      <w:r w:rsidR="00146147">
        <w:rPr>
          <w:bCs/>
          <w:color w:val="000000"/>
          <w:sz w:val="22"/>
          <w:szCs w:val="22"/>
          <w:lang w:val="en-US"/>
        </w:rPr>
        <w:t xml:space="preserve"> finish the quarter at</w:t>
      </w:r>
      <w:r w:rsidR="003357FA" w:rsidRPr="00A5108A">
        <w:rPr>
          <w:bCs/>
          <w:color w:val="000000"/>
          <w:sz w:val="22"/>
          <w:szCs w:val="22"/>
          <w:lang w:val="en-US"/>
        </w:rPr>
        <w:t xml:space="preserve"> EUR </w:t>
      </w:r>
      <w:r w:rsidR="000003D0">
        <w:rPr>
          <w:bCs/>
          <w:color w:val="000000"/>
          <w:sz w:val="22"/>
          <w:szCs w:val="22"/>
          <w:lang w:val="en-US"/>
        </w:rPr>
        <w:t>211</w:t>
      </w:r>
      <w:r w:rsidRPr="00A5108A">
        <w:rPr>
          <w:bCs/>
          <w:color w:val="000000"/>
          <w:sz w:val="22"/>
          <w:szCs w:val="22"/>
          <w:lang w:val="en-US"/>
        </w:rPr>
        <w:t xml:space="preserve"> billion.</w:t>
      </w:r>
      <w:r w:rsidR="00DE2BD8" w:rsidRPr="00A5108A">
        <w:rPr>
          <w:bCs/>
          <w:color w:val="000000"/>
          <w:sz w:val="22"/>
          <w:szCs w:val="22"/>
          <w:lang w:val="en-US"/>
        </w:rPr>
        <w:t xml:space="preserve"> </w:t>
      </w:r>
      <w:r w:rsidR="00A047A3">
        <w:rPr>
          <w:bCs/>
          <w:color w:val="000000"/>
          <w:sz w:val="22"/>
          <w:szCs w:val="22"/>
          <w:lang w:val="en-US"/>
        </w:rPr>
        <w:t xml:space="preserve"> </w:t>
      </w:r>
      <w:r w:rsidR="003357FA" w:rsidRPr="00E4443A">
        <w:rPr>
          <w:bCs/>
          <w:color w:val="000000"/>
          <w:sz w:val="22"/>
          <w:szCs w:val="22"/>
          <w:lang w:val="en-US"/>
        </w:rPr>
        <w:t xml:space="preserve">Institutional multi-asset fund net assets </w:t>
      </w:r>
      <w:r w:rsidR="00B16EB4">
        <w:rPr>
          <w:bCs/>
          <w:color w:val="000000"/>
          <w:sz w:val="22"/>
          <w:szCs w:val="22"/>
          <w:lang w:val="en-US"/>
        </w:rPr>
        <w:t>in</w:t>
      </w:r>
      <w:r w:rsidR="00146147">
        <w:rPr>
          <w:bCs/>
          <w:color w:val="000000"/>
          <w:sz w:val="22"/>
          <w:szCs w:val="22"/>
          <w:lang w:val="en-US"/>
        </w:rPr>
        <w:t>creased</w:t>
      </w:r>
      <w:r w:rsidR="00DE2BD8" w:rsidRPr="00E4443A">
        <w:rPr>
          <w:bCs/>
          <w:color w:val="000000"/>
          <w:sz w:val="22"/>
          <w:szCs w:val="22"/>
          <w:lang w:val="en-US"/>
        </w:rPr>
        <w:t xml:space="preserve"> by </w:t>
      </w:r>
      <w:r w:rsidR="001A3416">
        <w:rPr>
          <w:bCs/>
          <w:color w:val="000000"/>
          <w:sz w:val="22"/>
          <w:szCs w:val="22"/>
          <w:lang w:val="en-US"/>
        </w:rPr>
        <w:t>1.0</w:t>
      </w:r>
      <w:r w:rsidR="00DE2BD8" w:rsidRPr="00E4443A">
        <w:rPr>
          <w:bCs/>
          <w:color w:val="000000"/>
          <w:sz w:val="22"/>
          <w:szCs w:val="22"/>
          <w:lang w:val="en-US"/>
        </w:rPr>
        <w:t>%</w:t>
      </w:r>
      <w:r w:rsidR="00292DC3" w:rsidRPr="00E4443A">
        <w:rPr>
          <w:bCs/>
          <w:color w:val="000000"/>
          <w:sz w:val="22"/>
          <w:szCs w:val="22"/>
          <w:lang w:val="en-US"/>
        </w:rPr>
        <w:t xml:space="preserve"> </w:t>
      </w:r>
      <w:r w:rsidR="00DE2BD8" w:rsidRPr="00E4443A">
        <w:rPr>
          <w:bCs/>
          <w:color w:val="000000"/>
          <w:sz w:val="22"/>
          <w:szCs w:val="22"/>
          <w:lang w:val="en-US"/>
        </w:rPr>
        <w:t>to reach EUR</w:t>
      </w:r>
      <w:r w:rsidR="00292DC3" w:rsidRPr="00E4443A">
        <w:rPr>
          <w:bCs/>
          <w:color w:val="000000"/>
          <w:sz w:val="22"/>
          <w:szCs w:val="22"/>
          <w:lang w:val="en-US"/>
        </w:rPr>
        <w:t xml:space="preserve"> 9</w:t>
      </w:r>
      <w:r w:rsidR="001A3416">
        <w:rPr>
          <w:bCs/>
          <w:color w:val="000000"/>
          <w:sz w:val="22"/>
          <w:szCs w:val="22"/>
          <w:lang w:val="en-US"/>
        </w:rPr>
        <w:t>82</w:t>
      </w:r>
      <w:r w:rsidR="00DD7BD6">
        <w:rPr>
          <w:bCs/>
          <w:color w:val="000000"/>
          <w:sz w:val="22"/>
          <w:szCs w:val="22"/>
          <w:lang w:val="en-US"/>
        </w:rPr>
        <w:t xml:space="preserve"> </w:t>
      </w:r>
      <w:r w:rsidR="00292DC3" w:rsidRPr="00E4443A">
        <w:rPr>
          <w:bCs/>
          <w:color w:val="000000"/>
          <w:sz w:val="22"/>
          <w:szCs w:val="22"/>
          <w:lang w:val="en-US"/>
        </w:rPr>
        <w:t>billion</w:t>
      </w:r>
      <w:r w:rsidR="003357FA" w:rsidRPr="00E4443A">
        <w:rPr>
          <w:bCs/>
          <w:color w:val="000000"/>
          <w:sz w:val="22"/>
          <w:szCs w:val="22"/>
          <w:lang w:val="en-US"/>
        </w:rPr>
        <w:t xml:space="preserve">. </w:t>
      </w:r>
      <w:r w:rsidR="00A047A3">
        <w:rPr>
          <w:bCs/>
          <w:color w:val="000000"/>
          <w:sz w:val="22"/>
          <w:szCs w:val="22"/>
          <w:lang w:val="en-US"/>
        </w:rPr>
        <w:t xml:space="preserve"> </w:t>
      </w:r>
      <w:r w:rsidR="00BC0701" w:rsidRPr="00E4443A">
        <w:rPr>
          <w:bCs/>
          <w:color w:val="000000"/>
          <w:sz w:val="22"/>
          <w:szCs w:val="22"/>
          <w:lang w:val="en-US"/>
        </w:rPr>
        <w:t>Net assets of i</w:t>
      </w:r>
      <w:r w:rsidR="003357FA" w:rsidRPr="00E4443A">
        <w:rPr>
          <w:bCs/>
          <w:color w:val="000000"/>
          <w:sz w:val="22"/>
          <w:szCs w:val="22"/>
          <w:lang w:val="en-US"/>
        </w:rPr>
        <w:t>nstitutional b</w:t>
      </w:r>
      <w:r w:rsidR="00445947" w:rsidRPr="00E4443A">
        <w:rPr>
          <w:bCs/>
          <w:color w:val="000000"/>
          <w:sz w:val="22"/>
          <w:szCs w:val="22"/>
          <w:lang w:val="en-US"/>
        </w:rPr>
        <w:t xml:space="preserve">ond funds </w:t>
      </w:r>
      <w:r w:rsidR="001A3416">
        <w:rPr>
          <w:bCs/>
          <w:color w:val="000000"/>
          <w:sz w:val="22"/>
          <w:szCs w:val="22"/>
          <w:lang w:val="en-US"/>
        </w:rPr>
        <w:t>decreased 2.3</w:t>
      </w:r>
      <w:r w:rsidR="00146147">
        <w:rPr>
          <w:bCs/>
          <w:color w:val="000000"/>
          <w:sz w:val="22"/>
          <w:szCs w:val="22"/>
          <w:lang w:val="en-US"/>
        </w:rPr>
        <w:t>%</w:t>
      </w:r>
      <w:r w:rsidR="00D52FA4" w:rsidRPr="00E4443A">
        <w:rPr>
          <w:bCs/>
          <w:color w:val="000000"/>
          <w:sz w:val="22"/>
          <w:szCs w:val="22"/>
          <w:lang w:val="en-US"/>
        </w:rPr>
        <w:t xml:space="preserve"> to EUR</w:t>
      </w:r>
      <w:r w:rsidR="00292DC3" w:rsidRPr="00E4443A">
        <w:rPr>
          <w:bCs/>
          <w:color w:val="000000"/>
          <w:sz w:val="22"/>
          <w:szCs w:val="22"/>
          <w:lang w:val="en-US"/>
        </w:rPr>
        <w:t xml:space="preserve"> </w:t>
      </w:r>
      <w:r w:rsidR="00DE2BD8" w:rsidRPr="00E4443A">
        <w:rPr>
          <w:bCs/>
          <w:color w:val="000000"/>
          <w:sz w:val="22"/>
          <w:szCs w:val="22"/>
          <w:lang w:val="en-US"/>
        </w:rPr>
        <w:t>5</w:t>
      </w:r>
      <w:r w:rsidR="00AD4435">
        <w:rPr>
          <w:bCs/>
          <w:color w:val="000000"/>
          <w:sz w:val="22"/>
          <w:szCs w:val="22"/>
          <w:lang w:val="en-US"/>
        </w:rPr>
        <w:t>69</w:t>
      </w:r>
      <w:r w:rsidR="003357FA" w:rsidRPr="00E4443A">
        <w:rPr>
          <w:bCs/>
          <w:color w:val="000000"/>
          <w:sz w:val="22"/>
          <w:szCs w:val="22"/>
          <w:lang w:val="en-US"/>
        </w:rPr>
        <w:t xml:space="preserve"> billion</w:t>
      </w:r>
      <w:r w:rsidR="00D52FA4" w:rsidRPr="00E4443A">
        <w:rPr>
          <w:bCs/>
          <w:color w:val="000000"/>
          <w:sz w:val="22"/>
          <w:szCs w:val="22"/>
          <w:lang w:val="en-US"/>
        </w:rPr>
        <w:t xml:space="preserve">, </w:t>
      </w:r>
      <w:r w:rsidR="00DD7BD6">
        <w:rPr>
          <w:bCs/>
          <w:color w:val="000000"/>
          <w:sz w:val="22"/>
          <w:szCs w:val="22"/>
          <w:lang w:val="en-US"/>
        </w:rPr>
        <w:t>and</w:t>
      </w:r>
      <w:r w:rsidR="00D52FA4" w:rsidRPr="00E4443A">
        <w:rPr>
          <w:bCs/>
          <w:color w:val="000000"/>
          <w:sz w:val="22"/>
          <w:szCs w:val="22"/>
          <w:lang w:val="en-US"/>
        </w:rPr>
        <w:t xml:space="preserve"> r</w:t>
      </w:r>
      <w:r w:rsidR="00311F0F" w:rsidRPr="00E4443A">
        <w:rPr>
          <w:bCs/>
          <w:color w:val="000000"/>
          <w:sz w:val="22"/>
          <w:szCs w:val="22"/>
          <w:lang w:val="en-US"/>
        </w:rPr>
        <w:t>eal estate fund net assets</w:t>
      </w:r>
      <w:r w:rsidR="00DE2BD8" w:rsidRPr="00E4443A">
        <w:rPr>
          <w:bCs/>
          <w:color w:val="000000"/>
          <w:sz w:val="22"/>
          <w:szCs w:val="22"/>
          <w:lang w:val="en-US"/>
        </w:rPr>
        <w:t xml:space="preserve"> </w:t>
      </w:r>
      <w:r w:rsidR="00E25A1D" w:rsidRPr="00E4443A">
        <w:rPr>
          <w:bCs/>
          <w:color w:val="000000"/>
          <w:sz w:val="22"/>
          <w:szCs w:val="22"/>
          <w:lang w:val="en-US"/>
        </w:rPr>
        <w:t xml:space="preserve">increased </w:t>
      </w:r>
      <w:r w:rsidR="00146147">
        <w:rPr>
          <w:bCs/>
          <w:color w:val="000000"/>
          <w:sz w:val="22"/>
          <w:szCs w:val="22"/>
          <w:lang w:val="en-US"/>
        </w:rPr>
        <w:t>3.</w:t>
      </w:r>
      <w:r w:rsidR="00AD4435">
        <w:rPr>
          <w:bCs/>
          <w:color w:val="000000"/>
          <w:sz w:val="22"/>
          <w:szCs w:val="22"/>
          <w:lang w:val="en-US"/>
        </w:rPr>
        <w:t>1</w:t>
      </w:r>
      <w:r w:rsidR="00292DC3" w:rsidRPr="00E4443A">
        <w:rPr>
          <w:bCs/>
          <w:color w:val="000000"/>
          <w:sz w:val="22"/>
          <w:szCs w:val="22"/>
          <w:lang w:val="en-US"/>
        </w:rPr>
        <w:t xml:space="preserve">% </w:t>
      </w:r>
      <w:r w:rsidR="00DE2BD8" w:rsidRPr="00E4443A">
        <w:rPr>
          <w:bCs/>
          <w:color w:val="000000"/>
          <w:sz w:val="22"/>
          <w:szCs w:val="22"/>
          <w:lang w:val="en-US"/>
        </w:rPr>
        <w:t xml:space="preserve">to </w:t>
      </w:r>
      <w:r w:rsidR="00D52FA4" w:rsidRPr="00E4443A">
        <w:rPr>
          <w:bCs/>
          <w:color w:val="000000"/>
          <w:sz w:val="22"/>
          <w:szCs w:val="22"/>
          <w:lang w:val="en-US"/>
        </w:rPr>
        <w:t xml:space="preserve">EUR </w:t>
      </w:r>
      <w:r w:rsidR="00292DC3" w:rsidRPr="00E4443A">
        <w:rPr>
          <w:bCs/>
          <w:color w:val="000000"/>
          <w:sz w:val="22"/>
          <w:szCs w:val="22"/>
          <w:lang w:val="en-US"/>
        </w:rPr>
        <w:t>1</w:t>
      </w:r>
      <w:r w:rsidR="00AD4435">
        <w:rPr>
          <w:bCs/>
          <w:color w:val="000000"/>
          <w:sz w:val="22"/>
          <w:szCs w:val="22"/>
          <w:lang w:val="en-US"/>
        </w:rPr>
        <w:t>60</w:t>
      </w:r>
      <w:r w:rsidR="00E25A1D" w:rsidRPr="00E4443A">
        <w:rPr>
          <w:bCs/>
          <w:color w:val="000000"/>
          <w:sz w:val="22"/>
          <w:szCs w:val="22"/>
          <w:lang w:val="en-US"/>
        </w:rPr>
        <w:t xml:space="preserve"> billion.</w:t>
      </w:r>
      <w:r w:rsidR="003357FA" w:rsidRPr="00E4443A">
        <w:rPr>
          <w:bCs/>
          <w:color w:val="000000"/>
          <w:sz w:val="22"/>
          <w:szCs w:val="22"/>
          <w:lang w:val="en-US"/>
        </w:rPr>
        <w:t xml:space="preserve"> </w:t>
      </w:r>
      <w:r w:rsidR="00A047A3">
        <w:rPr>
          <w:bCs/>
          <w:color w:val="000000"/>
          <w:sz w:val="22"/>
          <w:szCs w:val="22"/>
          <w:lang w:val="en-US"/>
        </w:rPr>
        <w:t xml:space="preserve"> </w:t>
      </w:r>
      <w:r w:rsidR="007A00F0" w:rsidRPr="00E4443A">
        <w:rPr>
          <w:color w:val="000000"/>
          <w:sz w:val="22"/>
          <w:szCs w:val="22"/>
        </w:rPr>
        <w:t>Other institutio</w:t>
      </w:r>
      <w:r w:rsidR="003357FA" w:rsidRPr="00E4443A">
        <w:rPr>
          <w:color w:val="000000"/>
          <w:sz w:val="22"/>
          <w:szCs w:val="22"/>
        </w:rPr>
        <w:t xml:space="preserve">nal </w:t>
      </w:r>
      <w:r w:rsidR="00BC0701" w:rsidRPr="00E4443A">
        <w:rPr>
          <w:color w:val="000000"/>
          <w:sz w:val="22"/>
          <w:szCs w:val="22"/>
        </w:rPr>
        <w:t>funds experienced</w:t>
      </w:r>
      <w:r w:rsidR="003357FA" w:rsidRPr="00E4443A">
        <w:rPr>
          <w:color w:val="000000"/>
          <w:sz w:val="22"/>
          <w:szCs w:val="22"/>
        </w:rPr>
        <w:t xml:space="preserve"> </w:t>
      </w:r>
      <w:r w:rsidR="00E25A1D" w:rsidRPr="00E4443A">
        <w:rPr>
          <w:color w:val="000000"/>
          <w:sz w:val="22"/>
          <w:szCs w:val="22"/>
        </w:rPr>
        <w:t xml:space="preserve">net asset </w:t>
      </w:r>
      <w:r w:rsidR="00292DC3" w:rsidRPr="00E4443A">
        <w:rPr>
          <w:color w:val="000000"/>
          <w:sz w:val="22"/>
          <w:szCs w:val="22"/>
        </w:rPr>
        <w:t xml:space="preserve">growth of </w:t>
      </w:r>
      <w:r w:rsidR="00AD4435">
        <w:rPr>
          <w:color w:val="000000"/>
          <w:sz w:val="22"/>
          <w:szCs w:val="22"/>
        </w:rPr>
        <w:t>4.</w:t>
      </w:r>
      <w:r w:rsidR="003B64BC">
        <w:rPr>
          <w:color w:val="000000"/>
          <w:sz w:val="22"/>
          <w:szCs w:val="22"/>
        </w:rPr>
        <w:t>9</w:t>
      </w:r>
      <w:r w:rsidR="00292DC3" w:rsidRPr="00E4443A">
        <w:rPr>
          <w:color w:val="000000"/>
          <w:sz w:val="22"/>
          <w:szCs w:val="22"/>
        </w:rPr>
        <w:t xml:space="preserve">% </w:t>
      </w:r>
      <w:r w:rsidR="006A3986">
        <w:rPr>
          <w:color w:val="000000"/>
          <w:sz w:val="22"/>
          <w:szCs w:val="22"/>
        </w:rPr>
        <w:t>to reach</w:t>
      </w:r>
      <w:r w:rsidR="00292DC3" w:rsidRPr="00E4443A">
        <w:rPr>
          <w:color w:val="000000"/>
          <w:sz w:val="22"/>
          <w:szCs w:val="22"/>
        </w:rPr>
        <w:t xml:space="preserve"> </w:t>
      </w:r>
      <w:r w:rsidR="00E25A1D" w:rsidRPr="00E4443A">
        <w:rPr>
          <w:color w:val="000000"/>
          <w:sz w:val="22"/>
          <w:szCs w:val="22"/>
        </w:rPr>
        <w:t xml:space="preserve">EUR </w:t>
      </w:r>
      <w:r w:rsidR="00AD4435">
        <w:rPr>
          <w:color w:val="000000"/>
          <w:sz w:val="22"/>
          <w:szCs w:val="22"/>
        </w:rPr>
        <w:t>271</w:t>
      </w:r>
      <w:r w:rsidR="00292DC3" w:rsidRPr="00E4443A">
        <w:rPr>
          <w:color w:val="000000"/>
          <w:sz w:val="22"/>
          <w:szCs w:val="22"/>
        </w:rPr>
        <w:t xml:space="preserve"> </w:t>
      </w:r>
      <w:r w:rsidR="007A00F0" w:rsidRPr="00E4443A">
        <w:rPr>
          <w:color w:val="000000"/>
          <w:sz w:val="22"/>
          <w:szCs w:val="22"/>
        </w:rPr>
        <w:t xml:space="preserve">billion at end </w:t>
      </w:r>
      <w:r w:rsidR="00831CEF">
        <w:rPr>
          <w:color w:val="000000"/>
          <w:sz w:val="22"/>
          <w:szCs w:val="22"/>
        </w:rPr>
        <w:t>Q</w:t>
      </w:r>
      <w:r w:rsidR="00AD4435">
        <w:rPr>
          <w:color w:val="000000"/>
          <w:sz w:val="22"/>
          <w:szCs w:val="22"/>
        </w:rPr>
        <w:t>4</w:t>
      </w:r>
      <w:r w:rsidR="003357FA" w:rsidRPr="00E4443A">
        <w:rPr>
          <w:color w:val="000000"/>
          <w:sz w:val="22"/>
          <w:szCs w:val="22"/>
        </w:rPr>
        <w:t xml:space="preserve"> 201</w:t>
      </w:r>
      <w:r w:rsidR="00292DC3" w:rsidRPr="00E4443A">
        <w:rPr>
          <w:color w:val="000000"/>
          <w:sz w:val="22"/>
          <w:szCs w:val="22"/>
        </w:rPr>
        <w:t>6</w:t>
      </w:r>
      <w:r w:rsidR="003357FA" w:rsidRPr="00A5108A">
        <w:rPr>
          <w:color w:val="000000"/>
          <w:sz w:val="22"/>
          <w:szCs w:val="22"/>
        </w:rPr>
        <w:t xml:space="preserve">. </w:t>
      </w:r>
    </w:p>
    <w:p w:rsidR="00E25A1D" w:rsidRPr="00A5108A" w:rsidRDefault="00E25A1D" w:rsidP="00FA63F0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Cs/>
          <w:color w:val="000000"/>
          <w:sz w:val="22"/>
          <w:szCs w:val="22"/>
        </w:rPr>
      </w:pPr>
    </w:p>
    <w:p w:rsidR="00FA63F0" w:rsidRDefault="00804404" w:rsidP="00FA63F0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  <w:r w:rsidRPr="00A5108A">
        <w:rPr>
          <w:color w:val="000000"/>
          <w:sz w:val="22"/>
          <w:szCs w:val="22"/>
          <w:lang w:val="en-US"/>
        </w:rPr>
        <w:t>I</w:t>
      </w:r>
      <w:r w:rsidR="00FC0050" w:rsidRPr="00A5108A">
        <w:rPr>
          <w:color w:val="000000"/>
          <w:sz w:val="22"/>
          <w:szCs w:val="22"/>
          <w:lang w:val="en-US"/>
        </w:rPr>
        <w:t xml:space="preserve">nstitutional </w:t>
      </w:r>
      <w:r w:rsidR="00D12669" w:rsidRPr="00A5108A">
        <w:rPr>
          <w:color w:val="000000"/>
          <w:sz w:val="22"/>
          <w:szCs w:val="22"/>
          <w:lang w:val="en-US"/>
        </w:rPr>
        <w:t>AIF</w:t>
      </w:r>
      <w:r w:rsidR="00C82188" w:rsidRPr="00A5108A">
        <w:rPr>
          <w:color w:val="000000"/>
          <w:sz w:val="22"/>
          <w:szCs w:val="22"/>
          <w:lang w:val="en-US"/>
        </w:rPr>
        <w:t xml:space="preserve"> </w:t>
      </w:r>
      <w:r w:rsidR="00E25A1D" w:rsidRPr="00A5108A">
        <w:rPr>
          <w:color w:val="000000"/>
          <w:sz w:val="22"/>
          <w:szCs w:val="22"/>
          <w:lang w:val="en-US"/>
        </w:rPr>
        <w:t>r</w:t>
      </w:r>
      <w:r w:rsidR="00550276">
        <w:rPr>
          <w:color w:val="000000"/>
          <w:sz w:val="22"/>
          <w:szCs w:val="22"/>
          <w:lang w:val="en-US"/>
        </w:rPr>
        <w:t>ecorded</w:t>
      </w:r>
      <w:r w:rsidR="00E25A1D" w:rsidRPr="00A5108A">
        <w:rPr>
          <w:color w:val="000000"/>
          <w:sz w:val="22"/>
          <w:szCs w:val="22"/>
          <w:lang w:val="en-US"/>
        </w:rPr>
        <w:t xml:space="preserve"> </w:t>
      </w:r>
      <w:r w:rsidR="00DE5892" w:rsidRPr="00A5108A">
        <w:rPr>
          <w:color w:val="000000"/>
          <w:sz w:val="22"/>
          <w:szCs w:val="22"/>
          <w:lang w:val="en-US"/>
        </w:rPr>
        <w:t xml:space="preserve">net sales of </w:t>
      </w:r>
      <w:r w:rsidR="00311F0F" w:rsidRPr="00A5108A">
        <w:rPr>
          <w:color w:val="000000"/>
          <w:sz w:val="22"/>
          <w:szCs w:val="22"/>
          <w:lang w:val="en-US"/>
        </w:rPr>
        <w:t xml:space="preserve">EUR </w:t>
      </w:r>
      <w:r w:rsidR="00AD4435">
        <w:rPr>
          <w:color w:val="000000"/>
          <w:sz w:val="22"/>
          <w:szCs w:val="22"/>
          <w:lang w:val="en-US"/>
        </w:rPr>
        <w:t>45 billion in Q4</w:t>
      </w:r>
      <w:r w:rsidR="00146147">
        <w:rPr>
          <w:color w:val="000000"/>
          <w:sz w:val="22"/>
          <w:szCs w:val="22"/>
          <w:lang w:val="en-US"/>
        </w:rPr>
        <w:t xml:space="preserve"> 2016, </w:t>
      </w:r>
      <w:r w:rsidR="00AD4435">
        <w:rPr>
          <w:color w:val="000000"/>
          <w:sz w:val="22"/>
          <w:szCs w:val="22"/>
          <w:lang w:val="en-US"/>
        </w:rPr>
        <w:t>higher than previous three quarters in 2015. Total net sales of institutional AIF funds reached EUR 138 billion in 2016.</w:t>
      </w:r>
    </w:p>
    <w:p w:rsidR="00650C28" w:rsidRDefault="00650C28" w:rsidP="00FA63F0">
      <w:pPr>
        <w:pStyle w:val="Footer"/>
        <w:jc w:val="center"/>
      </w:pPr>
    </w:p>
    <w:p w:rsidR="00864931" w:rsidRDefault="00864931" w:rsidP="00FA63F0">
      <w:pPr>
        <w:pStyle w:val="Footer"/>
        <w:jc w:val="center"/>
      </w:pPr>
    </w:p>
    <w:p w:rsidR="00650C28" w:rsidRPr="008C2583" w:rsidRDefault="00EA1CB6" w:rsidP="007C30BC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1CB6">
        <w:rPr>
          <w:noProof/>
          <w:lang w:val="en-US"/>
        </w:rPr>
        <w:drawing>
          <wp:anchor distT="0" distB="0" distL="114300" distR="114300" simplePos="0" relativeHeight="251801600" behindDoc="0" locked="0" layoutInCell="1" allowOverlap="1">
            <wp:simplePos x="0" y="0"/>
            <wp:positionH relativeFrom="column">
              <wp:posOffset>456565</wp:posOffset>
            </wp:positionH>
            <wp:positionV relativeFrom="paragraph">
              <wp:posOffset>45720</wp:posOffset>
            </wp:positionV>
            <wp:extent cx="5495925" cy="2921976"/>
            <wp:effectExtent l="0" t="0" r="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2921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0C28" w:rsidRPr="008C2583" w:rsidRDefault="00650C28" w:rsidP="007C30BC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C30BC" w:rsidRPr="008C2583" w:rsidRDefault="00EA1CB6" w:rsidP="007C30BC">
      <w:pPr>
        <w:pStyle w:val="Footer"/>
        <w:jc w:val="center"/>
        <w:outlineLvl w:val="0"/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1CB6">
        <w:rPr>
          <w:noProof/>
          <w:lang w:val="en-US"/>
        </w:rPr>
        <w:drawing>
          <wp:anchor distT="0" distB="0" distL="114300" distR="114300" simplePos="0" relativeHeight="251802624" behindDoc="0" locked="0" layoutInCell="1" allowOverlap="1">
            <wp:simplePos x="0" y="0"/>
            <wp:positionH relativeFrom="column">
              <wp:posOffset>456565</wp:posOffset>
            </wp:positionH>
            <wp:positionV relativeFrom="paragraph">
              <wp:posOffset>2658745</wp:posOffset>
            </wp:positionV>
            <wp:extent cx="5500588" cy="2637790"/>
            <wp:effectExtent l="0" t="0" r="5080" b="0"/>
            <wp:wrapNone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588" cy="263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19C2" w:rsidRPr="008C2583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  <w:r w:rsidR="007C30BC" w:rsidRPr="008C2583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Trends in the AIF Market</w:t>
      </w:r>
    </w:p>
    <w:p w:rsidR="007C30BC" w:rsidRPr="008C2583" w:rsidRDefault="007C30BC" w:rsidP="007C30BC">
      <w:pPr>
        <w:pStyle w:val="Footer"/>
        <w:jc w:val="center"/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C2583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Net Assets by Country of Domiciliation</w:t>
      </w:r>
    </w:p>
    <w:p w:rsidR="007C30BC" w:rsidRDefault="007C30BC" w:rsidP="007C30BC">
      <w:pPr>
        <w:pStyle w:val="FootnoteText"/>
        <w:jc w:val="both"/>
        <w:rPr>
          <w:bCs/>
          <w:color w:val="000000"/>
          <w:sz w:val="22"/>
          <w:szCs w:val="22"/>
        </w:rPr>
      </w:pPr>
    </w:p>
    <w:p w:rsidR="00DA2647" w:rsidRPr="00EA222B" w:rsidRDefault="00DA2647" w:rsidP="00DA2647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bCs/>
          <w:color w:val="0000FF"/>
          <w:sz w:val="22"/>
          <w:szCs w:val="22"/>
          <w:lang w:val="en-US"/>
        </w:rPr>
      </w:pPr>
      <w:r w:rsidRPr="00EA222B">
        <w:rPr>
          <w:b/>
          <w:bCs/>
          <w:color w:val="0000FF"/>
          <w:sz w:val="22"/>
          <w:szCs w:val="22"/>
          <w:lang w:val="en-US"/>
        </w:rPr>
        <w:t xml:space="preserve">Net assets of </w:t>
      </w:r>
      <w:r>
        <w:rPr>
          <w:b/>
          <w:bCs/>
          <w:color w:val="0000FF"/>
          <w:sz w:val="22"/>
          <w:szCs w:val="22"/>
          <w:lang w:val="en-US"/>
        </w:rPr>
        <w:t xml:space="preserve">AIF </w:t>
      </w:r>
      <w:r w:rsidR="00DD7BD6">
        <w:rPr>
          <w:b/>
          <w:bCs/>
          <w:color w:val="0000FF"/>
          <w:sz w:val="22"/>
          <w:szCs w:val="22"/>
          <w:lang w:val="en-US"/>
        </w:rPr>
        <w:t>increase</w:t>
      </w:r>
      <w:r w:rsidR="00583767">
        <w:rPr>
          <w:b/>
          <w:bCs/>
          <w:color w:val="0000FF"/>
          <w:sz w:val="22"/>
          <w:szCs w:val="22"/>
          <w:lang w:val="en-US"/>
        </w:rPr>
        <w:t>d</w:t>
      </w:r>
      <w:r w:rsidRPr="00EA222B">
        <w:rPr>
          <w:b/>
          <w:bCs/>
          <w:color w:val="0000FF"/>
          <w:sz w:val="22"/>
          <w:szCs w:val="22"/>
          <w:lang w:val="en-US"/>
        </w:rPr>
        <w:t xml:space="preserve"> </w:t>
      </w:r>
      <w:r w:rsidR="00641414">
        <w:rPr>
          <w:b/>
          <w:bCs/>
          <w:color w:val="0000FF"/>
          <w:sz w:val="22"/>
          <w:szCs w:val="22"/>
          <w:lang w:val="en-US"/>
        </w:rPr>
        <w:t>1.7 percent during the fourth</w:t>
      </w:r>
      <w:r w:rsidR="003562CE">
        <w:rPr>
          <w:b/>
          <w:bCs/>
          <w:color w:val="0000FF"/>
          <w:sz w:val="22"/>
          <w:szCs w:val="22"/>
          <w:lang w:val="en-US"/>
        </w:rPr>
        <w:t xml:space="preserve"> quarter</w:t>
      </w:r>
      <w:r w:rsidR="0026277B">
        <w:rPr>
          <w:b/>
          <w:bCs/>
          <w:color w:val="0000FF"/>
          <w:sz w:val="22"/>
          <w:szCs w:val="22"/>
          <w:lang w:val="en-US"/>
        </w:rPr>
        <w:t xml:space="preserve"> </w:t>
      </w:r>
      <w:r w:rsidR="003562CE">
        <w:rPr>
          <w:b/>
          <w:bCs/>
          <w:color w:val="0000FF"/>
          <w:sz w:val="22"/>
          <w:szCs w:val="22"/>
          <w:lang w:val="en-US"/>
        </w:rPr>
        <w:t xml:space="preserve">to </w:t>
      </w:r>
      <w:r>
        <w:rPr>
          <w:b/>
          <w:bCs/>
          <w:color w:val="0000FF"/>
          <w:sz w:val="22"/>
          <w:szCs w:val="22"/>
          <w:lang w:val="en-US"/>
        </w:rPr>
        <w:t xml:space="preserve">EUR </w:t>
      </w:r>
      <w:r w:rsidR="004625CA">
        <w:rPr>
          <w:b/>
          <w:bCs/>
          <w:color w:val="0000FF"/>
          <w:sz w:val="22"/>
          <w:szCs w:val="22"/>
          <w:lang w:val="en-US"/>
        </w:rPr>
        <w:t>5,</w:t>
      </w:r>
      <w:r w:rsidR="00D53B81">
        <w:rPr>
          <w:b/>
          <w:bCs/>
          <w:color w:val="0000FF"/>
          <w:sz w:val="22"/>
          <w:szCs w:val="22"/>
          <w:lang w:val="en-US"/>
        </w:rPr>
        <w:t>483</w:t>
      </w:r>
      <w:r w:rsidR="0026277B">
        <w:rPr>
          <w:b/>
          <w:bCs/>
          <w:color w:val="0000FF"/>
          <w:sz w:val="22"/>
          <w:szCs w:val="22"/>
          <w:lang w:val="en-US"/>
        </w:rPr>
        <w:t xml:space="preserve"> </w:t>
      </w:r>
      <w:r>
        <w:rPr>
          <w:b/>
          <w:bCs/>
          <w:color w:val="0000FF"/>
          <w:sz w:val="22"/>
          <w:szCs w:val="22"/>
          <w:lang w:val="en-US"/>
        </w:rPr>
        <w:t>billion</w:t>
      </w:r>
      <w:r w:rsidR="00D52FA4">
        <w:rPr>
          <w:b/>
          <w:bCs/>
          <w:color w:val="0000FF"/>
          <w:sz w:val="22"/>
          <w:szCs w:val="22"/>
          <w:lang w:val="en-US"/>
        </w:rPr>
        <w:t xml:space="preserve"> at end 2016</w:t>
      </w:r>
      <w:r w:rsidRPr="00EA222B">
        <w:rPr>
          <w:b/>
          <w:bCs/>
          <w:color w:val="0000FF"/>
          <w:sz w:val="22"/>
          <w:szCs w:val="22"/>
          <w:lang w:val="en-US"/>
        </w:rPr>
        <w:t xml:space="preserve">. </w:t>
      </w:r>
    </w:p>
    <w:p w:rsidR="007C30BC" w:rsidRDefault="007C30BC" w:rsidP="007C30BC">
      <w:pPr>
        <w:pStyle w:val="FootnoteText"/>
        <w:jc w:val="both"/>
        <w:rPr>
          <w:b/>
          <w:bCs/>
          <w:color w:val="0000FF"/>
          <w:sz w:val="22"/>
          <w:szCs w:val="22"/>
        </w:rPr>
      </w:pPr>
    </w:p>
    <w:p w:rsidR="00974E43" w:rsidRDefault="006A3986" w:rsidP="007C30BC">
      <w:pPr>
        <w:pStyle w:val="FootnoteText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The five largest domiciles all</w:t>
      </w:r>
      <w:r w:rsidR="00641414">
        <w:rPr>
          <w:bCs/>
          <w:color w:val="000000"/>
          <w:sz w:val="22"/>
          <w:szCs w:val="22"/>
        </w:rPr>
        <w:t xml:space="preserve"> recorded net asset growth in Q4</w:t>
      </w:r>
      <w:r>
        <w:rPr>
          <w:bCs/>
          <w:color w:val="000000"/>
          <w:sz w:val="22"/>
          <w:szCs w:val="22"/>
        </w:rPr>
        <w:t xml:space="preserve"> 2016, with </w:t>
      </w:r>
      <w:r w:rsidR="0026277B">
        <w:rPr>
          <w:bCs/>
          <w:color w:val="000000"/>
          <w:sz w:val="22"/>
          <w:szCs w:val="22"/>
        </w:rPr>
        <w:t>th</w:t>
      </w:r>
      <w:r w:rsidR="0011606B">
        <w:rPr>
          <w:bCs/>
          <w:color w:val="000000"/>
          <w:sz w:val="22"/>
          <w:szCs w:val="22"/>
        </w:rPr>
        <w:t>e largest growth in the UK (4</w:t>
      </w:r>
      <w:r w:rsidR="00606A8D">
        <w:rPr>
          <w:bCs/>
          <w:color w:val="000000"/>
          <w:sz w:val="22"/>
          <w:szCs w:val="22"/>
        </w:rPr>
        <w:t>.1%), followed</w:t>
      </w:r>
      <w:r w:rsidR="00641414">
        <w:rPr>
          <w:bCs/>
          <w:color w:val="000000"/>
          <w:sz w:val="22"/>
          <w:szCs w:val="22"/>
        </w:rPr>
        <w:t xml:space="preserve"> by France (3.5%), Luxembourg (2.5%), Ireland (2.1%) and Germany (0.4</w:t>
      </w:r>
      <w:r w:rsidR="0026277B">
        <w:rPr>
          <w:bCs/>
          <w:color w:val="000000"/>
          <w:sz w:val="22"/>
          <w:szCs w:val="22"/>
        </w:rPr>
        <w:t xml:space="preserve">%). </w:t>
      </w:r>
      <w:r w:rsidR="00A047A3">
        <w:rPr>
          <w:bCs/>
          <w:color w:val="000000"/>
          <w:sz w:val="22"/>
          <w:szCs w:val="22"/>
        </w:rPr>
        <w:t xml:space="preserve"> </w:t>
      </w:r>
      <w:r w:rsidR="0026277B">
        <w:rPr>
          <w:bCs/>
          <w:color w:val="000000"/>
          <w:sz w:val="22"/>
          <w:szCs w:val="22"/>
        </w:rPr>
        <w:t xml:space="preserve">Elsewhere in Europe, </w:t>
      </w:r>
      <w:r w:rsidR="00FD30C2">
        <w:rPr>
          <w:bCs/>
          <w:color w:val="000000"/>
          <w:sz w:val="22"/>
          <w:szCs w:val="22"/>
        </w:rPr>
        <w:t xml:space="preserve">it is worth nothing net assets grew strongly in </w:t>
      </w:r>
      <w:r w:rsidR="00641414">
        <w:rPr>
          <w:bCs/>
          <w:color w:val="000000"/>
          <w:sz w:val="22"/>
          <w:szCs w:val="22"/>
        </w:rPr>
        <w:t>the Czech Republic (12.6%), Bulgaria (7.5%) and Belgium (5.1</w:t>
      </w:r>
      <w:r w:rsidR="0026277B">
        <w:rPr>
          <w:bCs/>
          <w:color w:val="000000"/>
          <w:sz w:val="22"/>
          <w:szCs w:val="22"/>
        </w:rPr>
        <w:t xml:space="preserve">%). </w:t>
      </w:r>
      <w:r w:rsidR="00641414">
        <w:rPr>
          <w:bCs/>
          <w:color w:val="000000"/>
          <w:sz w:val="22"/>
          <w:szCs w:val="22"/>
        </w:rPr>
        <w:t>The largest d</w:t>
      </w:r>
      <w:r w:rsidR="002556EB">
        <w:rPr>
          <w:bCs/>
          <w:color w:val="000000"/>
          <w:sz w:val="22"/>
          <w:szCs w:val="22"/>
        </w:rPr>
        <w:t>ecreases</w:t>
      </w:r>
      <w:r w:rsidR="0026277B">
        <w:rPr>
          <w:bCs/>
          <w:color w:val="000000"/>
          <w:sz w:val="22"/>
          <w:szCs w:val="22"/>
        </w:rPr>
        <w:t xml:space="preserve"> in net assets were seen </w:t>
      </w:r>
      <w:r w:rsidR="00647670">
        <w:rPr>
          <w:bCs/>
          <w:color w:val="000000"/>
          <w:sz w:val="22"/>
          <w:szCs w:val="22"/>
        </w:rPr>
        <w:t>in</w:t>
      </w:r>
      <w:r w:rsidR="00641414">
        <w:rPr>
          <w:bCs/>
          <w:color w:val="000000"/>
          <w:sz w:val="22"/>
          <w:szCs w:val="22"/>
        </w:rPr>
        <w:t xml:space="preserve"> Turkey (9.5</w:t>
      </w:r>
      <w:r w:rsidR="00FD30C2">
        <w:rPr>
          <w:bCs/>
          <w:color w:val="000000"/>
          <w:sz w:val="22"/>
          <w:szCs w:val="22"/>
        </w:rPr>
        <w:t>%),</w:t>
      </w:r>
      <w:r w:rsidR="00647670">
        <w:rPr>
          <w:bCs/>
          <w:color w:val="000000"/>
          <w:sz w:val="22"/>
          <w:szCs w:val="22"/>
        </w:rPr>
        <w:t xml:space="preserve"> </w:t>
      </w:r>
      <w:r w:rsidR="00641414">
        <w:rPr>
          <w:bCs/>
          <w:color w:val="000000"/>
          <w:sz w:val="22"/>
          <w:szCs w:val="22"/>
        </w:rPr>
        <w:t>Poland (7.5%) and Sweden</w:t>
      </w:r>
      <w:r w:rsidR="0026277B">
        <w:rPr>
          <w:bCs/>
          <w:color w:val="000000"/>
          <w:sz w:val="22"/>
          <w:szCs w:val="22"/>
        </w:rPr>
        <w:t xml:space="preserve"> (</w:t>
      </w:r>
      <w:r w:rsidR="00641414">
        <w:rPr>
          <w:bCs/>
          <w:color w:val="000000"/>
          <w:sz w:val="22"/>
          <w:szCs w:val="22"/>
        </w:rPr>
        <w:t>5.3</w:t>
      </w:r>
      <w:r w:rsidR="00EE347F">
        <w:rPr>
          <w:bCs/>
          <w:color w:val="000000"/>
          <w:sz w:val="22"/>
          <w:szCs w:val="22"/>
        </w:rPr>
        <w:t>%).</w:t>
      </w:r>
      <w:r w:rsidR="0026277B">
        <w:rPr>
          <w:bCs/>
          <w:color w:val="000000"/>
          <w:sz w:val="22"/>
          <w:szCs w:val="22"/>
        </w:rPr>
        <w:t xml:space="preserve"> </w:t>
      </w:r>
    </w:p>
    <w:p w:rsidR="007C30BC" w:rsidRPr="00BB2572" w:rsidRDefault="007C30BC" w:rsidP="007C30BC">
      <w:pPr>
        <w:pStyle w:val="FootnoteText"/>
        <w:jc w:val="both"/>
        <w:rPr>
          <w:bCs/>
          <w:color w:val="000000"/>
          <w:sz w:val="22"/>
          <w:szCs w:val="22"/>
        </w:rPr>
      </w:pPr>
    </w:p>
    <w:p w:rsidR="007C30BC" w:rsidRPr="008C2583" w:rsidRDefault="007C30BC" w:rsidP="00104F7D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C30BC" w:rsidRPr="008C2583" w:rsidRDefault="00C31E4E" w:rsidP="00104F7D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31E4E">
        <w:rPr>
          <w:noProof/>
          <w:lang w:val="en-US"/>
        </w:rPr>
        <w:drawing>
          <wp:anchor distT="0" distB="0" distL="114300" distR="114300" simplePos="0" relativeHeight="2518118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5720400" cy="6177600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400" cy="617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1CDE" w:rsidRPr="008C2583" w:rsidRDefault="00261CDE" w:rsidP="00104F7D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56687" w:rsidRPr="008C2583" w:rsidRDefault="00D56687" w:rsidP="00104F7D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C52D0" w:rsidRPr="008C2583" w:rsidRDefault="00A6458D" w:rsidP="003C52D0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C2583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  <w:r w:rsidR="003C52D0" w:rsidRPr="008C2583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Trends in the </w:t>
      </w:r>
      <w:r w:rsidR="00757DE9" w:rsidRPr="008C2583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European I</w:t>
      </w:r>
      <w:r w:rsidR="003C52D0" w:rsidRPr="008C2583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nvestment Fund Industry</w:t>
      </w:r>
    </w:p>
    <w:p w:rsidR="003C52D0" w:rsidRPr="008C2583" w:rsidRDefault="003C52D0" w:rsidP="003C52D0">
      <w:pPr>
        <w:pStyle w:val="Footer"/>
        <w:jc w:val="center"/>
        <w:outlineLvl w:val="0"/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C2583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Net Sales by Investment Type</w:t>
      </w:r>
    </w:p>
    <w:p w:rsidR="003C52D0" w:rsidRDefault="003C52D0" w:rsidP="003C52D0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sz w:val="22"/>
          <w:szCs w:val="22"/>
          <w:lang w:val="en-US"/>
        </w:rPr>
      </w:pPr>
    </w:p>
    <w:p w:rsidR="00AC77E2" w:rsidRDefault="009331D3" w:rsidP="00AC77E2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bCs/>
          <w:color w:val="0000FF"/>
          <w:sz w:val="22"/>
          <w:szCs w:val="22"/>
          <w:lang w:val="en-US"/>
        </w:rPr>
      </w:pPr>
      <w:r w:rsidRPr="00654E5B">
        <w:rPr>
          <w:b/>
          <w:color w:val="0000FF"/>
          <w:sz w:val="22"/>
          <w:szCs w:val="22"/>
        </w:rPr>
        <w:t xml:space="preserve">The combined </w:t>
      </w:r>
      <w:r>
        <w:rPr>
          <w:b/>
          <w:color w:val="0000FF"/>
          <w:sz w:val="22"/>
          <w:szCs w:val="22"/>
        </w:rPr>
        <w:t>net sales</w:t>
      </w:r>
      <w:r w:rsidRPr="00654E5B">
        <w:rPr>
          <w:b/>
          <w:color w:val="0000FF"/>
          <w:sz w:val="22"/>
          <w:szCs w:val="22"/>
        </w:rPr>
        <w:t xml:space="preserve"> of the investment fund market in Europe</w:t>
      </w:r>
      <w:r w:rsidR="00606A8D">
        <w:rPr>
          <w:b/>
          <w:color w:val="0000FF"/>
          <w:sz w:val="22"/>
          <w:szCs w:val="22"/>
        </w:rPr>
        <w:t xml:space="preserve"> </w:t>
      </w:r>
      <w:r w:rsidR="00F67028">
        <w:rPr>
          <w:b/>
          <w:bCs/>
          <w:color w:val="0000FF"/>
          <w:sz w:val="22"/>
          <w:szCs w:val="22"/>
          <w:lang w:val="en-US"/>
        </w:rPr>
        <w:t>recorded</w:t>
      </w:r>
      <w:r w:rsidR="003C52D0">
        <w:rPr>
          <w:b/>
          <w:bCs/>
          <w:color w:val="0000FF"/>
          <w:sz w:val="22"/>
          <w:szCs w:val="22"/>
          <w:lang w:val="en-US"/>
        </w:rPr>
        <w:t xml:space="preserve"> net inflows of EUR </w:t>
      </w:r>
      <w:r w:rsidR="0011606B">
        <w:rPr>
          <w:b/>
          <w:bCs/>
          <w:color w:val="0000FF"/>
          <w:sz w:val="22"/>
          <w:szCs w:val="22"/>
          <w:lang w:val="en-US"/>
        </w:rPr>
        <w:t>121</w:t>
      </w:r>
      <w:r w:rsidR="003C52D0">
        <w:rPr>
          <w:b/>
          <w:bCs/>
          <w:color w:val="0000FF"/>
          <w:sz w:val="22"/>
          <w:szCs w:val="22"/>
          <w:lang w:val="en-US"/>
        </w:rPr>
        <w:t xml:space="preserve"> billion during </w:t>
      </w:r>
      <w:r w:rsidR="009211E8">
        <w:rPr>
          <w:b/>
          <w:bCs/>
          <w:color w:val="0000FF"/>
          <w:sz w:val="22"/>
          <w:szCs w:val="22"/>
          <w:lang w:val="en-US"/>
        </w:rPr>
        <w:t>Q4</w:t>
      </w:r>
      <w:r w:rsidR="0011606B">
        <w:rPr>
          <w:b/>
          <w:bCs/>
          <w:color w:val="0000FF"/>
          <w:sz w:val="22"/>
          <w:szCs w:val="22"/>
          <w:lang w:val="en-US"/>
        </w:rPr>
        <w:t xml:space="preserve"> 2016, compared to EUR 1</w:t>
      </w:r>
      <w:r w:rsidR="003C0DD0">
        <w:rPr>
          <w:b/>
          <w:bCs/>
          <w:color w:val="0000FF"/>
          <w:sz w:val="22"/>
          <w:szCs w:val="22"/>
          <w:lang w:val="en-US"/>
        </w:rPr>
        <w:t>7</w:t>
      </w:r>
      <w:r w:rsidR="0011606B">
        <w:rPr>
          <w:b/>
          <w:bCs/>
          <w:color w:val="0000FF"/>
          <w:sz w:val="22"/>
          <w:szCs w:val="22"/>
          <w:lang w:val="en-US"/>
        </w:rPr>
        <w:t>2</w:t>
      </w:r>
      <w:r w:rsidR="003C52D0">
        <w:rPr>
          <w:b/>
          <w:bCs/>
          <w:color w:val="0000FF"/>
          <w:sz w:val="22"/>
          <w:szCs w:val="22"/>
          <w:lang w:val="en-US"/>
        </w:rPr>
        <w:t xml:space="preserve"> billion i</w:t>
      </w:r>
      <w:r w:rsidR="0011606B">
        <w:rPr>
          <w:b/>
          <w:bCs/>
          <w:color w:val="0000FF"/>
          <w:sz w:val="22"/>
          <w:szCs w:val="22"/>
          <w:lang w:val="en-US"/>
        </w:rPr>
        <w:t>n Q3</w:t>
      </w:r>
      <w:r w:rsidR="003C52D0">
        <w:rPr>
          <w:b/>
          <w:bCs/>
          <w:color w:val="0000FF"/>
          <w:sz w:val="22"/>
          <w:szCs w:val="22"/>
          <w:lang w:val="en-US"/>
        </w:rPr>
        <w:t>.</w:t>
      </w:r>
      <w:r w:rsidR="00AC77E2">
        <w:rPr>
          <w:b/>
          <w:bCs/>
          <w:color w:val="0000FF"/>
          <w:sz w:val="22"/>
          <w:szCs w:val="22"/>
          <w:lang w:val="en-US"/>
        </w:rPr>
        <w:t xml:space="preserve"> </w:t>
      </w:r>
      <w:r w:rsidR="00A047A3">
        <w:rPr>
          <w:b/>
          <w:bCs/>
          <w:color w:val="0000FF"/>
          <w:sz w:val="22"/>
          <w:szCs w:val="22"/>
          <w:lang w:val="en-US"/>
        </w:rPr>
        <w:t xml:space="preserve"> </w:t>
      </w:r>
      <w:r w:rsidR="00B16EB4">
        <w:rPr>
          <w:b/>
          <w:bCs/>
          <w:color w:val="0000FF"/>
          <w:sz w:val="22"/>
          <w:szCs w:val="22"/>
          <w:lang w:val="en-US"/>
        </w:rPr>
        <w:t xml:space="preserve">Total </w:t>
      </w:r>
      <w:r w:rsidR="00AC77E2">
        <w:rPr>
          <w:b/>
          <w:bCs/>
          <w:color w:val="0000FF"/>
          <w:sz w:val="22"/>
          <w:szCs w:val="22"/>
          <w:lang w:val="en-US"/>
        </w:rPr>
        <w:t>European investment funds</w:t>
      </w:r>
      <w:r w:rsidR="009211E8">
        <w:rPr>
          <w:b/>
          <w:bCs/>
          <w:color w:val="0000FF"/>
          <w:sz w:val="22"/>
          <w:szCs w:val="22"/>
          <w:lang w:val="en-US"/>
        </w:rPr>
        <w:t xml:space="preserve"> garnered net sales of EUR 459</w:t>
      </w:r>
      <w:r w:rsidR="00AC77E2">
        <w:rPr>
          <w:b/>
          <w:bCs/>
          <w:color w:val="0000FF"/>
          <w:sz w:val="22"/>
          <w:szCs w:val="22"/>
          <w:lang w:val="en-US"/>
        </w:rPr>
        <w:t xml:space="preserve"> billion in 2016</w:t>
      </w:r>
      <w:r w:rsidR="00B16EB4">
        <w:rPr>
          <w:b/>
          <w:bCs/>
          <w:color w:val="0000FF"/>
          <w:sz w:val="22"/>
          <w:szCs w:val="22"/>
          <w:lang w:val="en-US"/>
        </w:rPr>
        <w:t>, compared to EUR 738</w:t>
      </w:r>
      <w:r w:rsidR="007344F3">
        <w:rPr>
          <w:b/>
          <w:bCs/>
          <w:color w:val="0000FF"/>
          <w:sz w:val="22"/>
          <w:szCs w:val="22"/>
          <w:lang w:val="en-US"/>
        </w:rPr>
        <w:t xml:space="preserve"> billion in 2015</w:t>
      </w:r>
      <w:r w:rsidR="00AC77E2">
        <w:rPr>
          <w:b/>
          <w:bCs/>
          <w:color w:val="0000FF"/>
          <w:sz w:val="22"/>
          <w:szCs w:val="22"/>
          <w:lang w:val="en-US"/>
        </w:rPr>
        <w:t xml:space="preserve">. </w:t>
      </w:r>
    </w:p>
    <w:p w:rsidR="003C52D0" w:rsidRDefault="003C52D0" w:rsidP="003C52D0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bCs/>
          <w:color w:val="0000FF"/>
          <w:sz w:val="22"/>
          <w:szCs w:val="22"/>
        </w:rPr>
      </w:pPr>
    </w:p>
    <w:p w:rsidR="00C0196C" w:rsidRDefault="004C1DF0" w:rsidP="00C0196C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Net sales of equity funds registered EUR 7 billion, slightly up from EUR 6 billion in Q3 2016. </w:t>
      </w:r>
      <w:r w:rsidR="00A047A3"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>N</w:t>
      </w:r>
      <w:r w:rsidR="00617CF4">
        <w:rPr>
          <w:bCs/>
          <w:color w:val="000000"/>
          <w:sz w:val="22"/>
          <w:szCs w:val="22"/>
        </w:rPr>
        <w:t>e</w:t>
      </w:r>
      <w:r w:rsidR="003C52D0" w:rsidRPr="00A7353F">
        <w:rPr>
          <w:bCs/>
          <w:color w:val="000000"/>
          <w:sz w:val="22"/>
          <w:szCs w:val="22"/>
        </w:rPr>
        <w:t xml:space="preserve">t sales of bond funds </w:t>
      </w:r>
      <w:r>
        <w:rPr>
          <w:bCs/>
          <w:color w:val="000000"/>
          <w:sz w:val="22"/>
          <w:szCs w:val="22"/>
        </w:rPr>
        <w:t>dec</w:t>
      </w:r>
      <w:r w:rsidR="00606A8D">
        <w:rPr>
          <w:bCs/>
          <w:color w:val="000000"/>
          <w:sz w:val="22"/>
          <w:szCs w:val="22"/>
        </w:rPr>
        <w:t>reased from EUR 71 billion in Q3 2016</w:t>
      </w:r>
      <w:r>
        <w:rPr>
          <w:bCs/>
          <w:color w:val="000000"/>
          <w:sz w:val="22"/>
          <w:szCs w:val="22"/>
        </w:rPr>
        <w:t xml:space="preserve"> to EUR 13</w:t>
      </w:r>
      <w:r w:rsidR="006E162F">
        <w:rPr>
          <w:bCs/>
          <w:color w:val="000000"/>
          <w:sz w:val="22"/>
          <w:szCs w:val="22"/>
        </w:rPr>
        <w:t xml:space="preserve"> b</w:t>
      </w:r>
      <w:r w:rsidR="001B2438">
        <w:rPr>
          <w:bCs/>
          <w:color w:val="000000"/>
          <w:sz w:val="22"/>
          <w:szCs w:val="22"/>
        </w:rPr>
        <w:t>illion</w:t>
      </w:r>
      <w:r>
        <w:rPr>
          <w:bCs/>
          <w:color w:val="000000"/>
          <w:sz w:val="22"/>
          <w:szCs w:val="22"/>
        </w:rPr>
        <w:t xml:space="preserve">. </w:t>
      </w:r>
      <w:r w:rsidR="00A047A3">
        <w:rPr>
          <w:bCs/>
          <w:color w:val="000000"/>
          <w:sz w:val="22"/>
          <w:szCs w:val="22"/>
        </w:rPr>
        <w:t xml:space="preserve"> </w:t>
      </w:r>
      <w:r w:rsidR="00617CF4">
        <w:rPr>
          <w:bCs/>
          <w:color w:val="000000"/>
          <w:sz w:val="22"/>
          <w:szCs w:val="22"/>
        </w:rPr>
        <w:t xml:space="preserve">Net sales of multi-asset funds </w:t>
      </w:r>
      <w:r>
        <w:rPr>
          <w:bCs/>
          <w:color w:val="000000"/>
          <w:sz w:val="22"/>
          <w:szCs w:val="22"/>
        </w:rPr>
        <w:t>increased from EUR 25 billion to EUR 32 billion in Q4 2016</w:t>
      </w:r>
      <w:r w:rsidR="00617CF4">
        <w:rPr>
          <w:bCs/>
          <w:color w:val="000000"/>
          <w:sz w:val="22"/>
          <w:szCs w:val="22"/>
        </w:rPr>
        <w:t>. N</w:t>
      </w:r>
      <w:r>
        <w:rPr>
          <w:bCs/>
          <w:color w:val="000000"/>
          <w:sz w:val="22"/>
          <w:szCs w:val="22"/>
        </w:rPr>
        <w:t>et sales of money market funds decreased from EUR 43 billion in Q3 2016 to EUR 38</w:t>
      </w:r>
      <w:r w:rsidR="00617CF4">
        <w:rPr>
          <w:bCs/>
          <w:color w:val="000000"/>
          <w:sz w:val="22"/>
          <w:szCs w:val="22"/>
        </w:rPr>
        <w:t xml:space="preserve"> b</w:t>
      </w:r>
      <w:r w:rsidR="001B2438">
        <w:rPr>
          <w:bCs/>
          <w:color w:val="000000"/>
          <w:sz w:val="22"/>
          <w:szCs w:val="22"/>
        </w:rPr>
        <w:t>illio</w:t>
      </w:r>
      <w:r>
        <w:rPr>
          <w:bCs/>
          <w:color w:val="000000"/>
          <w:sz w:val="22"/>
          <w:szCs w:val="22"/>
        </w:rPr>
        <w:t>n in Q4</w:t>
      </w:r>
      <w:r w:rsidR="00A047A3">
        <w:rPr>
          <w:bCs/>
          <w:color w:val="000000"/>
          <w:sz w:val="22"/>
          <w:szCs w:val="22"/>
        </w:rPr>
        <w:t xml:space="preserve"> 2016</w:t>
      </w:r>
      <w:r w:rsidR="00617CF4">
        <w:rPr>
          <w:bCs/>
          <w:color w:val="000000"/>
          <w:sz w:val="22"/>
          <w:szCs w:val="22"/>
        </w:rPr>
        <w:t>.</w:t>
      </w:r>
      <w:r w:rsidR="00A047A3">
        <w:rPr>
          <w:bCs/>
          <w:color w:val="000000"/>
          <w:sz w:val="22"/>
          <w:szCs w:val="22"/>
        </w:rPr>
        <w:t xml:space="preserve">  </w:t>
      </w:r>
      <w:r w:rsidR="00617CF4">
        <w:rPr>
          <w:bCs/>
          <w:color w:val="000000"/>
          <w:sz w:val="22"/>
          <w:szCs w:val="22"/>
        </w:rPr>
        <w:t>Net sales of other funds (in</w:t>
      </w:r>
      <w:r w:rsidR="00F67028">
        <w:rPr>
          <w:bCs/>
          <w:color w:val="000000"/>
          <w:sz w:val="22"/>
          <w:szCs w:val="22"/>
        </w:rPr>
        <w:t>cluding real estate, guaranteed/</w:t>
      </w:r>
      <w:r w:rsidR="00617CF4">
        <w:rPr>
          <w:bCs/>
          <w:color w:val="000000"/>
          <w:sz w:val="22"/>
          <w:szCs w:val="22"/>
        </w:rPr>
        <w:t xml:space="preserve">protected funds and other funds which do not fit any of the categories below or for which information is not available) totalled EUR </w:t>
      </w:r>
      <w:r>
        <w:rPr>
          <w:bCs/>
          <w:color w:val="000000"/>
          <w:sz w:val="22"/>
          <w:szCs w:val="22"/>
        </w:rPr>
        <w:t>31</w:t>
      </w:r>
      <w:r w:rsidR="00617CF4">
        <w:rPr>
          <w:bCs/>
          <w:color w:val="000000"/>
          <w:sz w:val="22"/>
          <w:szCs w:val="22"/>
        </w:rPr>
        <w:t xml:space="preserve"> billion during the qu</w:t>
      </w:r>
      <w:r>
        <w:rPr>
          <w:bCs/>
          <w:color w:val="000000"/>
          <w:sz w:val="22"/>
          <w:szCs w:val="22"/>
        </w:rPr>
        <w:t>arter, up from EUR 27</w:t>
      </w:r>
      <w:r w:rsidR="00617CF4">
        <w:rPr>
          <w:bCs/>
          <w:color w:val="000000"/>
          <w:sz w:val="22"/>
          <w:szCs w:val="22"/>
        </w:rPr>
        <w:t xml:space="preserve"> billion last quarter.</w:t>
      </w:r>
    </w:p>
    <w:p w:rsidR="009211E8" w:rsidRDefault="007344F3" w:rsidP="00C0196C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Cs/>
          <w:color w:val="000000"/>
          <w:sz w:val="22"/>
          <w:szCs w:val="22"/>
        </w:rPr>
      </w:pPr>
      <w:r>
        <w:rPr>
          <w:b/>
          <w:bCs/>
          <w:iCs/>
          <w:noProof/>
          <w:sz w:val="28"/>
          <w:szCs w:val="28"/>
          <w:lang w:val="en-US"/>
        </w:rPr>
        <w:drawing>
          <wp:anchor distT="0" distB="0" distL="114300" distR="114300" simplePos="0" relativeHeight="251714560" behindDoc="0" locked="0" layoutInCell="1" allowOverlap="1" wp14:anchorId="64F9C34F">
            <wp:simplePos x="0" y="0"/>
            <wp:positionH relativeFrom="column">
              <wp:posOffset>0</wp:posOffset>
            </wp:positionH>
            <wp:positionV relativeFrom="page">
              <wp:posOffset>3079115</wp:posOffset>
            </wp:positionV>
            <wp:extent cx="3430270" cy="208788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270" cy="208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11E8" w:rsidRDefault="009211E8" w:rsidP="00C0196C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Cs/>
          <w:color w:val="000000"/>
          <w:sz w:val="22"/>
          <w:szCs w:val="22"/>
        </w:rPr>
      </w:pPr>
    </w:p>
    <w:p w:rsidR="00C0196C" w:rsidRPr="00C0196C" w:rsidRDefault="00B22A18" w:rsidP="00C0196C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Cs/>
          <w:color w:val="000000"/>
          <w:sz w:val="22"/>
          <w:szCs w:val="22"/>
        </w:rPr>
      </w:pPr>
      <w:r>
        <w:rPr>
          <w:b/>
          <w:bCs/>
          <w:iCs/>
          <w:noProof/>
          <w:sz w:val="28"/>
          <w:szCs w:val="28"/>
          <w:lang w:val="en-US"/>
        </w:rPr>
        <w:drawing>
          <wp:anchor distT="0" distB="0" distL="114300" distR="114300" simplePos="0" relativeHeight="251715584" behindDoc="0" locked="0" layoutInCell="1" allowOverlap="1" wp14:anchorId="702F9211">
            <wp:simplePos x="0" y="0"/>
            <wp:positionH relativeFrom="column">
              <wp:posOffset>3430270</wp:posOffset>
            </wp:positionH>
            <wp:positionV relativeFrom="page">
              <wp:posOffset>3079115</wp:posOffset>
            </wp:positionV>
            <wp:extent cx="3078000" cy="208800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000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2045" w:rsidRPr="008C2583" w:rsidRDefault="00312C7D" w:rsidP="00C0196C">
      <w:pPr>
        <w:pStyle w:val="Footer"/>
        <w:jc w:val="center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iCs/>
          <w:noProof/>
          <w:sz w:val="28"/>
          <w:szCs w:val="28"/>
          <w:lang w:val="en-US"/>
        </w:rPr>
        <w:drawing>
          <wp:anchor distT="0" distB="0" distL="114300" distR="114300" simplePos="0" relativeHeight="251745280" behindDoc="0" locked="0" layoutInCell="1" allowOverlap="1" wp14:anchorId="3602EDF8">
            <wp:simplePos x="0" y="0"/>
            <wp:positionH relativeFrom="column">
              <wp:posOffset>3430270</wp:posOffset>
            </wp:positionH>
            <wp:positionV relativeFrom="page">
              <wp:posOffset>5439543</wp:posOffset>
            </wp:positionV>
            <wp:extent cx="3078000" cy="2088000"/>
            <wp:effectExtent l="0" t="0" r="0" b="762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000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7BDB">
        <w:rPr>
          <w:b/>
          <w:bCs/>
          <w:iCs/>
          <w:noProof/>
          <w:sz w:val="28"/>
          <w:szCs w:val="28"/>
          <w:lang w:val="en-US"/>
        </w:rPr>
        <w:drawing>
          <wp:anchor distT="0" distB="0" distL="114300" distR="114300" simplePos="0" relativeHeight="251718656" behindDoc="0" locked="0" layoutInCell="1" allowOverlap="1" wp14:anchorId="58B64D02">
            <wp:simplePos x="0" y="0"/>
            <wp:positionH relativeFrom="column">
              <wp:posOffset>10160</wp:posOffset>
            </wp:positionH>
            <wp:positionV relativeFrom="page">
              <wp:posOffset>7575550</wp:posOffset>
            </wp:positionV>
            <wp:extent cx="3194685" cy="2166620"/>
            <wp:effectExtent l="0" t="0" r="0" b="508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685" cy="2166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6726">
        <w:rPr>
          <w:b/>
          <w:bCs/>
          <w:iCs/>
          <w:noProof/>
          <w:sz w:val="28"/>
          <w:szCs w:val="28"/>
          <w:lang w:val="en-US"/>
        </w:rPr>
        <w:drawing>
          <wp:anchor distT="0" distB="0" distL="114300" distR="114300" simplePos="0" relativeHeight="251716608" behindDoc="0" locked="0" layoutInCell="1" allowOverlap="1" wp14:anchorId="0DAC9E3F">
            <wp:simplePos x="0" y="0"/>
            <wp:positionH relativeFrom="column">
              <wp:posOffset>117210</wp:posOffset>
            </wp:positionH>
            <wp:positionV relativeFrom="page">
              <wp:posOffset>5443870</wp:posOffset>
            </wp:positionV>
            <wp:extent cx="2968106" cy="2013452"/>
            <wp:effectExtent l="0" t="0" r="0" b="635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677" cy="2024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2A18">
        <w:rPr>
          <w:b/>
          <w:bCs/>
          <w:iCs/>
          <w:noProof/>
          <w:sz w:val="28"/>
          <w:szCs w:val="28"/>
          <w:lang w:val="en-US"/>
        </w:rPr>
        <w:drawing>
          <wp:anchor distT="0" distB="0" distL="114300" distR="114300" simplePos="0" relativeHeight="251719680" behindDoc="0" locked="0" layoutInCell="1" allowOverlap="1" wp14:anchorId="607EA623">
            <wp:simplePos x="0" y="0"/>
            <wp:positionH relativeFrom="column">
              <wp:posOffset>3430270</wp:posOffset>
            </wp:positionH>
            <wp:positionV relativeFrom="page">
              <wp:posOffset>7651115</wp:posOffset>
            </wp:positionV>
            <wp:extent cx="3078000" cy="2088000"/>
            <wp:effectExtent l="0" t="0" r="0" b="762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000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52D0" w:rsidRPr="008C2583">
        <w:rPr>
          <w:b/>
          <w:bCs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  <w:r w:rsidR="00BE2045" w:rsidRPr="008C2583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Trends in the European Investment Fund Industry</w:t>
      </w:r>
    </w:p>
    <w:p w:rsidR="00BE2045" w:rsidRDefault="00BE2045">
      <w:pPr>
        <w:pStyle w:val="Footer"/>
        <w:jc w:val="center"/>
        <w:rPr>
          <w:b/>
          <w:bCs/>
          <w:i/>
          <w:iCs/>
          <w:sz w:val="16"/>
          <w:szCs w:val="16"/>
          <w:lang w:val="en-US"/>
        </w:rPr>
      </w:pPr>
      <w:r w:rsidRPr="008C2583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Net Assets by Country of Domiciliation</w:t>
      </w:r>
    </w:p>
    <w:p w:rsidR="00BE2045" w:rsidRDefault="00BE2045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sz w:val="22"/>
          <w:szCs w:val="22"/>
          <w:lang w:val="en-US"/>
        </w:rPr>
      </w:pPr>
    </w:p>
    <w:p w:rsidR="0012009C" w:rsidRPr="00D62403" w:rsidRDefault="00980832">
      <w:pPr>
        <w:pStyle w:val="FootnoteText"/>
        <w:jc w:val="both"/>
        <w:rPr>
          <w:b/>
          <w:color w:val="0000FF"/>
          <w:sz w:val="22"/>
          <w:szCs w:val="22"/>
        </w:rPr>
      </w:pPr>
      <w:bookmarkStart w:id="2" w:name="OLE_LINK4"/>
      <w:bookmarkStart w:id="3" w:name="OLE_LINK5"/>
      <w:r>
        <w:rPr>
          <w:b/>
          <w:color w:val="0000FF"/>
          <w:sz w:val="22"/>
          <w:szCs w:val="22"/>
        </w:rPr>
        <w:t>Net assets of the European investment fund industry</w:t>
      </w:r>
      <w:r w:rsidR="0002568C">
        <w:rPr>
          <w:b/>
          <w:color w:val="0000FF"/>
          <w:sz w:val="22"/>
          <w:szCs w:val="22"/>
        </w:rPr>
        <w:t xml:space="preserve"> </w:t>
      </w:r>
      <w:r w:rsidR="006416EC">
        <w:rPr>
          <w:b/>
          <w:color w:val="0000FF"/>
          <w:sz w:val="22"/>
          <w:szCs w:val="22"/>
        </w:rPr>
        <w:t>increased by</w:t>
      </w:r>
      <w:r w:rsidR="0077298C">
        <w:rPr>
          <w:b/>
          <w:color w:val="0000FF"/>
          <w:sz w:val="22"/>
          <w:szCs w:val="22"/>
        </w:rPr>
        <w:t xml:space="preserve"> </w:t>
      </w:r>
      <w:r w:rsidR="00FA4E49">
        <w:rPr>
          <w:b/>
          <w:color w:val="0000FF"/>
          <w:sz w:val="22"/>
          <w:szCs w:val="22"/>
        </w:rPr>
        <w:t>2.6</w:t>
      </w:r>
      <w:r w:rsidR="0077298C">
        <w:rPr>
          <w:b/>
          <w:color w:val="0000FF"/>
          <w:sz w:val="22"/>
          <w:szCs w:val="22"/>
        </w:rPr>
        <w:t>%</w:t>
      </w:r>
      <w:r w:rsidR="001A796E">
        <w:rPr>
          <w:b/>
          <w:color w:val="0000FF"/>
          <w:sz w:val="22"/>
          <w:szCs w:val="22"/>
        </w:rPr>
        <w:t xml:space="preserve"> </w:t>
      </w:r>
      <w:r w:rsidR="00FA4E49">
        <w:rPr>
          <w:b/>
          <w:color w:val="0000FF"/>
          <w:sz w:val="22"/>
          <w:szCs w:val="22"/>
        </w:rPr>
        <w:t>during the fourth quarter to end the year at EUR 14,132</w:t>
      </w:r>
      <w:r w:rsidR="00F52593">
        <w:rPr>
          <w:b/>
          <w:color w:val="0000FF"/>
          <w:sz w:val="22"/>
          <w:szCs w:val="22"/>
        </w:rPr>
        <w:t xml:space="preserve"> billion</w:t>
      </w:r>
      <w:r w:rsidR="00FA4E49">
        <w:rPr>
          <w:b/>
          <w:color w:val="0000FF"/>
          <w:sz w:val="22"/>
          <w:szCs w:val="22"/>
        </w:rPr>
        <w:t>.</w:t>
      </w:r>
    </w:p>
    <w:bookmarkEnd w:id="2"/>
    <w:bookmarkEnd w:id="3"/>
    <w:p w:rsidR="00E44777" w:rsidRDefault="00E44777">
      <w:pPr>
        <w:pStyle w:val="FootnoteText"/>
        <w:tabs>
          <w:tab w:val="left" w:pos="360"/>
        </w:tabs>
        <w:jc w:val="both"/>
        <w:rPr>
          <w:sz w:val="22"/>
          <w:szCs w:val="22"/>
        </w:rPr>
      </w:pPr>
    </w:p>
    <w:p w:rsidR="00F31194" w:rsidRDefault="0031048C" w:rsidP="00F31194">
      <w:pPr>
        <w:pStyle w:val="FootnoteText"/>
        <w:tabs>
          <w:tab w:val="left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>With E</w:t>
      </w:r>
      <w:r w:rsidR="001A796E">
        <w:rPr>
          <w:sz w:val="22"/>
          <w:szCs w:val="22"/>
        </w:rPr>
        <w:t>U</w:t>
      </w:r>
      <w:r w:rsidR="00914F7E">
        <w:rPr>
          <w:sz w:val="22"/>
          <w:szCs w:val="22"/>
        </w:rPr>
        <w:t xml:space="preserve">R </w:t>
      </w:r>
      <w:r w:rsidR="00FA4E49">
        <w:rPr>
          <w:sz w:val="22"/>
          <w:szCs w:val="22"/>
        </w:rPr>
        <w:t>8,658</w:t>
      </w:r>
      <w:r w:rsidR="00F31194" w:rsidRPr="00654E5B">
        <w:rPr>
          <w:sz w:val="22"/>
          <w:szCs w:val="22"/>
        </w:rPr>
        <w:t xml:space="preserve"> billion invested in UCITS, this segmen</w:t>
      </w:r>
      <w:r w:rsidR="004B5F9B">
        <w:rPr>
          <w:sz w:val="22"/>
          <w:szCs w:val="22"/>
        </w:rPr>
        <w:t>t accounted for</w:t>
      </w:r>
      <w:r w:rsidR="00DD202D">
        <w:rPr>
          <w:sz w:val="22"/>
          <w:szCs w:val="22"/>
        </w:rPr>
        <w:t xml:space="preserve"> </w:t>
      </w:r>
      <w:r w:rsidR="00497EFB">
        <w:rPr>
          <w:sz w:val="22"/>
          <w:szCs w:val="22"/>
        </w:rPr>
        <w:t>61</w:t>
      </w:r>
      <w:r w:rsidR="00FA4E49">
        <w:rPr>
          <w:sz w:val="22"/>
          <w:szCs w:val="22"/>
        </w:rPr>
        <w:t xml:space="preserve"> percent</w:t>
      </w:r>
      <w:r w:rsidR="00091E3D">
        <w:rPr>
          <w:sz w:val="22"/>
          <w:szCs w:val="22"/>
        </w:rPr>
        <w:t xml:space="preserve"> of total</w:t>
      </w:r>
      <w:r w:rsidR="00F31194" w:rsidRPr="00654E5B">
        <w:rPr>
          <w:sz w:val="22"/>
          <w:szCs w:val="22"/>
        </w:rPr>
        <w:t xml:space="preserve"> </w:t>
      </w:r>
      <w:r w:rsidR="00AA6274">
        <w:rPr>
          <w:sz w:val="22"/>
          <w:szCs w:val="22"/>
        </w:rPr>
        <w:t xml:space="preserve">European investment </w:t>
      </w:r>
      <w:r w:rsidR="00F31194" w:rsidRPr="00654E5B">
        <w:rPr>
          <w:sz w:val="22"/>
          <w:szCs w:val="22"/>
        </w:rPr>
        <w:t>fund</w:t>
      </w:r>
      <w:r w:rsidR="00914F7E">
        <w:rPr>
          <w:sz w:val="22"/>
          <w:szCs w:val="22"/>
        </w:rPr>
        <w:t xml:space="preserve"> assets at end </w:t>
      </w:r>
      <w:r w:rsidR="00831CEF">
        <w:rPr>
          <w:sz w:val="22"/>
          <w:szCs w:val="22"/>
        </w:rPr>
        <w:t>Q</w:t>
      </w:r>
      <w:r w:rsidR="00FA4E49">
        <w:rPr>
          <w:sz w:val="22"/>
          <w:szCs w:val="22"/>
        </w:rPr>
        <w:t>4</w:t>
      </w:r>
      <w:r w:rsidR="00914F7E">
        <w:rPr>
          <w:sz w:val="22"/>
          <w:szCs w:val="22"/>
        </w:rPr>
        <w:t xml:space="preserve"> 201</w:t>
      </w:r>
      <w:r w:rsidR="0077298C">
        <w:rPr>
          <w:sz w:val="22"/>
          <w:szCs w:val="22"/>
        </w:rPr>
        <w:t>6</w:t>
      </w:r>
      <w:r w:rsidR="00152993">
        <w:rPr>
          <w:sz w:val="22"/>
          <w:szCs w:val="22"/>
        </w:rPr>
        <w:t>, with the remaining 3</w:t>
      </w:r>
      <w:r w:rsidR="00497EFB">
        <w:rPr>
          <w:sz w:val="22"/>
          <w:szCs w:val="22"/>
        </w:rPr>
        <w:t>9</w:t>
      </w:r>
      <w:r w:rsidR="00FA4E49">
        <w:rPr>
          <w:sz w:val="22"/>
          <w:szCs w:val="22"/>
        </w:rPr>
        <w:t xml:space="preserve"> percent</w:t>
      </w:r>
      <w:r w:rsidR="00EC739E">
        <w:rPr>
          <w:sz w:val="22"/>
          <w:szCs w:val="22"/>
        </w:rPr>
        <w:t xml:space="preserve"> </w:t>
      </w:r>
      <w:r w:rsidR="00914F7E">
        <w:rPr>
          <w:sz w:val="22"/>
          <w:szCs w:val="22"/>
        </w:rPr>
        <w:t>(</w:t>
      </w:r>
      <w:r w:rsidR="00497EFB">
        <w:rPr>
          <w:sz w:val="22"/>
          <w:szCs w:val="22"/>
        </w:rPr>
        <w:t xml:space="preserve">equivalent to </w:t>
      </w:r>
      <w:r w:rsidR="00914F7E">
        <w:rPr>
          <w:sz w:val="22"/>
          <w:szCs w:val="22"/>
        </w:rPr>
        <w:t xml:space="preserve">EUR </w:t>
      </w:r>
      <w:r w:rsidR="00497EFB">
        <w:rPr>
          <w:sz w:val="22"/>
          <w:szCs w:val="22"/>
        </w:rPr>
        <w:t>5,</w:t>
      </w:r>
      <w:r w:rsidR="000C79A6">
        <w:rPr>
          <w:sz w:val="22"/>
          <w:szCs w:val="22"/>
        </w:rPr>
        <w:t>483</w:t>
      </w:r>
      <w:r w:rsidR="0065269D">
        <w:rPr>
          <w:sz w:val="22"/>
          <w:szCs w:val="22"/>
        </w:rPr>
        <w:t xml:space="preserve"> </w:t>
      </w:r>
      <w:r w:rsidR="00675068">
        <w:rPr>
          <w:sz w:val="22"/>
          <w:szCs w:val="22"/>
        </w:rPr>
        <w:t>billion</w:t>
      </w:r>
      <w:r w:rsidR="00A31C8C">
        <w:rPr>
          <w:sz w:val="22"/>
          <w:szCs w:val="22"/>
        </w:rPr>
        <w:t xml:space="preserve">) </w:t>
      </w:r>
      <w:r w:rsidR="00C076DD">
        <w:rPr>
          <w:sz w:val="22"/>
          <w:szCs w:val="22"/>
        </w:rPr>
        <w:t>coming from</w:t>
      </w:r>
      <w:r w:rsidR="001A796E">
        <w:rPr>
          <w:sz w:val="22"/>
          <w:szCs w:val="22"/>
        </w:rPr>
        <w:t xml:space="preserve"> </w:t>
      </w:r>
      <w:r w:rsidR="00914F7E">
        <w:rPr>
          <w:sz w:val="22"/>
          <w:szCs w:val="22"/>
        </w:rPr>
        <w:t>AIF</w:t>
      </w:r>
      <w:r w:rsidR="00EC739E">
        <w:rPr>
          <w:sz w:val="22"/>
          <w:szCs w:val="22"/>
        </w:rPr>
        <w:t>.</w:t>
      </w:r>
      <w:r w:rsidR="009D5D6A">
        <w:rPr>
          <w:sz w:val="22"/>
          <w:szCs w:val="22"/>
        </w:rPr>
        <w:t xml:space="preserve"> </w:t>
      </w:r>
    </w:p>
    <w:p w:rsidR="00606A8D" w:rsidRDefault="00606A8D" w:rsidP="00F31194">
      <w:pPr>
        <w:pStyle w:val="FootnoteText"/>
        <w:tabs>
          <w:tab w:val="left" w:pos="360"/>
        </w:tabs>
        <w:jc w:val="both"/>
        <w:rPr>
          <w:sz w:val="22"/>
          <w:szCs w:val="22"/>
        </w:rPr>
      </w:pPr>
    </w:p>
    <w:p w:rsidR="00F31194" w:rsidRDefault="00606A8D">
      <w:pPr>
        <w:pStyle w:val="FootnoteText"/>
        <w:tabs>
          <w:tab w:val="left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>The domicile with the largest annual net asset growth in 2016 was Bulgaria whose net asse</w:t>
      </w:r>
      <w:r w:rsidR="00B77F0D">
        <w:rPr>
          <w:sz w:val="22"/>
          <w:szCs w:val="22"/>
        </w:rPr>
        <w:t xml:space="preserve">ts grew by 30 percent, followed by </w:t>
      </w:r>
      <w:r>
        <w:rPr>
          <w:sz w:val="22"/>
          <w:szCs w:val="22"/>
        </w:rPr>
        <w:t>Croatia (23%), the Czech Republic (18%), Norway (15%), Ireland (10%), Finland (9%), the Netherlands (9%), Germany (9%), Switzerland (7%) and Denmark (7%).</w:t>
      </w:r>
    </w:p>
    <w:p w:rsidR="0054198C" w:rsidRDefault="0054198C">
      <w:pPr>
        <w:pStyle w:val="FootnoteText"/>
        <w:tabs>
          <w:tab w:val="left" w:pos="360"/>
        </w:tabs>
        <w:jc w:val="both"/>
        <w:rPr>
          <w:sz w:val="22"/>
          <w:szCs w:val="22"/>
        </w:rPr>
      </w:pPr>
    </w:p>
    <w:p w:rsidR="00152993" w:rsidRDefault="00152993" w:rsidP="00AD3D5F">
      <w:pPr>
        <w:pStyle w:val="FootnoteText"/>
        <w:tabs>
          <w:tab w:val="left" w:pos="360"/>
        </w:tabs>
        <w:jc w:val="center"/>
      </w:pPr>
    </w:p>
    <w:p w:rsidR="00152993" w:rsidRPr="008C2583" w:rsidRDefault="00D61F18" w:rsidP="00152993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61F18">
        <w:rPr>
          <w:noProof/>
          <w:lang w:val="en-US"/>
        </w:rPr>
        <w:drawing>
          <wp:inline distT="0" distB="0" distL="0" distR="0">
            <wp:extent cx="5709920" cy="6656070"/>
            <wp:effectExtent l="0" t="0" r="508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665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2993">
        <w:br w:type="page"/>
      </w:r>
      <w:r w:rsidR="00152993" w:rsidRPr="008C2583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Trends in the European Investment Fund Industry</w:t>
      </w:r>
    </w:p>
    <w:p w:rsidR="00DF6EFE" w:rsidRPr="008C2583" w:rsidRDefault="00152993" w:rsidP="00DF6EFE">
      <w:pPr>
        <w:pStyle w:val="Footer"/>
        <w:jc w:val="center"/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C2583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Number of Funds by Country of Domiciliation</w:t>
      </w:r>
    </w:p>
    <w:p w:rsidR="00DF6EFE" w:rsidRDefault="00DF6EFE" w:rsidP="00DF6EFE">
      <w:pPr>
        <w:pStyle w:val="FootnoteText"/>
        <w:jc w:val="both"/>
        <w:rPr>
          <w:b/>
          <w:color w:val="0000FF"/>
          <w:sz w:val="22"/>
          <w:szCs w:val="22"/>
        </w:rPr>
      </w:pPr>
    </w:p>
    <w:p w:rsidR="00DF6EFE" w:rsidRPr="00D62403" w:rsidRDefault="00EE019D" w:rsidP="00DF6EFE">
      <w:pPr>
        <w:pStyle w:val="FootnoteText"/>
        <w:jc w:val="both"/>
        <w:rPr>
          <w:b/>
          <w:color w:val="0000FF"/>
          <w:sz w:val="22"/>
          <w:szCs w:val="22"/>
        </w:rPr>
      </w:pPr>
      <w:r>
        <w:rPr>
          <w:b/>
          <w:color w:val="0000FF"/>
          <w:sz w:val="22"/>
          <w:szCs w:val="22"/>
        </w:rPr>
        <w:t>The total number of European investment funds increased 0.</w:t>
      </w:r>
      <w:r w:rsidR="0011606B">
        <w:rPr>
          <w:b/>
          <w:color w:val="0000FF"/>
          <w:sz w:val="22"/>
          <w:szCs w:val="22"/>
        </w:rPr>
        <w:t>2</w:t>
      </w:r>
      <w:r>
        <w:rPr>
          <w:b/>
          <w:color w:val="0000FF"/>
          <w:sz w:val="22"/>
          <w:szCs w:val="22"/>
        </w:rPr>
        <w:t xml:space="preserve">% during Q4 2016 to end the year at 58,462 funds. </w:t>
      </w:r>
    </w:p>
    <w:p w:rsidR="00152993" w:rsidRDefault="00152993" w:rsidP="00152993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sz w:val="22"/>
          <w:szCs w:val="22"/>
          <w:lang w:val="en-US"/>
        </w:rPr>
      </w:pPr>
    </w:p>
    <w:p w:rsidR="00152993" w:rsidRDefault="0092562B" w:rsidP="00152993">
      <w:pPr>
        <w:pStyle w:val="FootnoteText"/>
        <w:tabs>
          <w:tab w:val="left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At the end of the </w:t>
      </w:r>
      <w:r w:rsidR="00EE019D">
        <w:rPr>
          <w:sz w:val="22"/>
          <w:szCs w:val="22"/>
        </w:rPr>
        <w:t>fourth</w:t>
      </w:r>
      <w:r w:rsidR="00176C6A">
        <w:rPr>
          <w:sz w:val="22"/>
          <w:szCs w:val="22"/>
        </w:rPr>
        <w:t xml:space="preserve"> </w:t>
      </w:r>
      <w:r w:rsidR="0077298C">
        <w:rPr>
          <w:sz w:val="22"/>
          <w:szCs w:val="22"/>
        </w:rPr>
        <w:t>quarter of 2016</w:t>
      </w:r>
      <w:r w:rsidR="00AF2304">
        <w:rPr>
          <w:sz w:val="22"/>
          <w:szCs w:val="22"/>
        </w:rPr>
        <w:t>, UCITS accounted for</w:t>
      </w:r>
      <w:r w:rsidR="00232977">
        <w:rPr>
          <w:sz w:val="22"/>
          <w:szCs w:val="22"/>
        </w:rPr>
        <w:t xml:space="preserve"> </w:t>
      </w:r>
      <w:r w:rsidR="00D4085C">
        <w:rPr>
          <w:sz w:val="22"/>
          <w:szCs w:val="22"/>
        </w:rPr>
        <w:t>30,</w:t>
      </w:r>
      <w:r w:rsidR="00EE019D">
        <w:rPr>
          <w:sz w:val="22"/>
          <w:szCs w:val="22"/>
        </w:rPr>
        <w:t>674</w:t>
      </w:r>
      <w:r w:rsidR="00232977">
        <w:rPr>
          <w:sz w:val="22"/>
          <w:szCs w:val="22"/>
        </w:rPr>
        <w:t xml:space="preserve"> funds or </w:t>
      </w:r>
      <w:r w:rsidR="007D280E">
        <w:rPr>
          <w:sz w:val="22"/>
          <w:szCs w:val="22"/>
        </w:rPr>
        <w:t>52.</w:t>
      </w:r>
      <w:r w:rsidR="00EE019D">
        <w:rPr>
          <w:sz w:val="22"/>
          <w:szCs w:val="22"/>
        </w:rPr>
        <w:t>5</w:t>
      </w:r>
      <w:r w:rsidR="001D6F41">
        <w:rPr>
          <w:sz w:val="22"/>
          <w:szCs w:val="22"/>
        </w:rPr>
        <w:t>%</w:t>
      </w:r>
      <w:r w:rsidR="00A155D2">
        <w:rPr>
          <w:sz w:val="22"/>
          <w:szCs w:val="22"/>
        </w:rPr>
        <w:t xml:space="preserve"> of the </w:t>
      </w:r>
      <w:r w:rsidR="00C076DD">
        <w:rPr>
          <w:sz w:val="22"/>
          <w:szCs w:val="22"/>
        </w:rPr>
        <w:t xml:space="preserve">European investment fund market, </w:t>
      </w:r>
      <w:r w:rsidR="00B2621B">
        <w:rPr>
          <w:sz w:val="22"/>
          <w:szCs w:val="22"/>
        </w:rPr>
        <w:t>while</w:t>
      </w:r>
      <w:r w:rsidR="00C076DD">
        <w:rPr>
          <w:sz w:val="22"/>
          <w:szCs w:val="22"/>
        </w:rPr>
        <w:t xml:space="preserve"> AIF</w:t>
      </w:r>
      <w:r w:rsidR="00A155D2">
        <w:rPr>
          <w:sz w:val="22"/>
          <w:szCs w:val="22"/>
        </w:rPr>
        <w:t xml:space="preserve"> acc</w:t>
      </w:r>
      <w:r w:rsidR="00AF2304">
        <w:rPr>
          <w:sz w:val="22"/>
          <w:szCs w:val="22"/>
        </w:rPr>
        <w:t xml:space="preserve">ounted for </w:t>
      </w:r>
      <w:r w:rsidR="008710D5">
        <w:rPr>
          <w:sz w:val="22"/>
          <w:szCs w:val="22"/>
        </w:rPr>
        <w:t>27,</w:t>
      </w:r>
      <w:r w:rsidR="00EE019D">
        <w:rPr>
          <w:sz w:val="22"/>
          <w:szCs w:val="22"/>
        </w:rPr>
        <w:t>788</w:t>
      </w:r>
      <w:r w:rsidR="00AF2304">
        <w:rPr>
          <w:sz w:val="22"/>
          <w:szCs w:val="22"/>
        </w:rPr>
        <w:t xml:space="preserve"> funds</w:t>
      </w:r>
      <w:r w:rsidR="00232977">
        <w:rPr>
          <w:sz w:val="22"/>
          <w:szCs w:val="22"/>
        </w:rPr>
        <w:t xml:space="preserve">, or </w:t>
      </w:r>
      <w:r w:rsidR="001D6F41">
        <w:rPr>
          <w:sz w:val="22"/>
          <w:szCs w:val="22"/>
        </w:rPr>
        <w:t>47.</w:t>
      </w:r>
      <w:r w:rsidR="00EE019D">
        <w:rPr>
          <w:sz w:val="22"/>
          <w:szCs w:val="22"/>
        </w:rPr>
        <w:t>5</w:t>
      </w:r>
      <w:r w:rsidR="00A155D2">
        <w:rPr>
          <w:sz w:val="22"/>
          <w:szCs w:val="22"/>
        </w:rPr>
        <w:t>% of the market.</w:t>
      </w:r>
    </w:p>
    <w:p w:rsidR="00152993" w:rsidRDefault="00152993" w:rsidP="00152993">
      <w:pPr>
        <w:pStyle w:val="FootnoteText"/>
        <w:tabs>
          <w:tab w:val="left" w:pos="360"/>
        </w:tabs>
        <w:jc w:val="both"/>
        <w:rPr>
          <w:sz w:val="22"/>
          <w:szCs w:val="22"/>
        </w:rPr>
      </w:pPr>
    </w:p>
    <w:p w:rsidR="00152993" w:rsidRDefault="00A047A3" w:rsidP="00152993">
      <w:pPr>
        <w:pStyle w:val="FootnoteText"/>
        <w:tabs>
          <w:tab w:val="left" w:pos="360"/>
        </w:tabs>
        <w:jc w:val="center"/>
      </w:pPr>
      <w:r w:rsidRPr="00EA1CB6">
        <w:rPr>
          <w:noProof/>
        </w:rPr>
        <w:drawing>
          <wp:anchor distT="0" distB="0" distL="114300" distR="114300" simplePos="0" relativeHeight="25181696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182245</wp:posOffset>
            </wp:positionV>
            <wp:extent cx="5861304" cy="6025896"/>
            <wp:effectExtent l="0" t="0" r="6350" b="0"/>
            <wp:wrapSquare wrapText="bothSides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304" cy="6025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155D2" w:rsidRDefault="00A155D2" w:rsidP="00152993">
      <w:pPr>
        <w:pStyle w:val="FootnoteText"/>
        <w:tabs>
          <w:tab w:val="left" w:pos="360"/>
        </w:tabs>
        <w:jc w:val="center"/>
      </w:pPr>
    </w:p>
    <w:p w:rsidR="001665DF" w:rsidRDefault="006867F0" w:rsidP="00AD3D5F">
      <w:pPr>
        <w:pStyle w:val="FootnoteText"/>
        <w:tabs>
          <w:tab w:val="left" w:pos="360"/>
        </w:tabs>
        <w:jc w:val="center"/>
      </w:pPr>
      <w:proofErr w:type="gramStart"/>
      <w:r>
        <w:t>s</w:t>
      </w:r>
      <w:proofErr w:type="gramEnd"/>
    </w:p>
    <w:sectPr w:rsidR="001665DF">
      <w:headerReference w:type="default" r:id="rId56"/>
      <w:footerReference w:type="default" r:id="rId57"/>
      <w:pgSz w:w="11906" w:h="16838" w:code="9"/>
      <w:pgMar w:top="794" w:right="1021" w:bottom="1134" w:left="1021" w:header="709" w:footer="709" w:gutter="0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67F" w:rsidRDefault="00E2167F">
      <w:r>
        <w:separator/>
      </w:r>
    </w:p>
  </w:endnote>
  <w:endnote w:type="continuationSeparator" w:id="0">
    <w:p w:rsidR="00E2167F" w:rsidRDefault="00E21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23C" w:rsidRDefault="003B223C" w:rsidP="00E009CD">
    <w:pPr>
      <w:pStyle w:val="Footer"/>
      <w:tabs>
        <w:tab w:val="left" w:pos="9270"/>
      </w:tabs>
      <w:ind w:right="360"/>
      <w:jc w:val="right"/>
      <w:rPr>
        <w:i/>
        <w:iCs/>
      </w:rPr>
    </w:pPr>
    <w:r>
      <w:rPr>
        <w:i/>
        <w:iCs/>
      </w:rPr>
      <w:t>EFAMA Quarterly</w:t>
    </w:r>
    <w:r w:rsidR="003F103A">
      <w:rPr>
        <w:i/>
        <w:iCs/>
      </w:rPr>
      <w:t xml:space="preserve"> Statis</w:t>
    </w:r>
    <w:r w:rsidR="00691094">
      <w:rPr>
        <w:i/>
        <w:iCs/>
      </w:rPr>
      <w:t>tical Release N°6</w:t>
    </w:r>
    <w:r w:rsidR="00D5717E">
      <w:rPr>
        <w:i/>
        <w:iCs/>
      </w:rPr>
      <w:t>8</w:t>
    </w:r>
    <w:r w:rsidR="00DB7D89">
      <w:rPr>
        <w:i/>
        <w:iCs/>
      </w:rPr>
      <w:t xml:space="preserve"> (</w:t>
    </w:r>
    <w:r w:rsidR="00CB7FB7">
      <w:rPr>
        <w:i/>
        <w:iCs/>
      </w:rPr>
      <w:t>Fourth quarter</w:t>
    </w:r>
    <w:r w:rsidR="00A955F6">
      <w:rPr>
        <w:i/>
        <w:iCs/>
      </w:rPr>
      <w:t xml:space="preserve"> of 2016</w:t>
    </w:r>
    <w:r>
      <w:rPr>
        <w:i/>
        <w:iCs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67F" w:rsidRDefault="00E2167F">
      <w:r>
        <w:separator/>
      </w:r>
    </w:p>
  </w:footnote>
  <w:footnote w:type="continuationSeparator" w:id="0">
    <w:p w:rsidR="00E2167F" w:rsidRDefault="00E2167F">
      <w:r>
        <w:continuationSeparator/>
      </w:r>
    </w:p>
  </w:footnote>
  <w:footnote w:id="1">
    <w:p w:rsidR="00010F20" w:rsidRPr="00E755B4" w:rsidRDefault="00010F20">
      <w:pPr>
        <w:pStyle w:val="FootnoteText"/>
        <w:rPr>
          <w:sz w:val="16"/>
        </w:rPr>
      </w:pPr>
      <w:r w:rsidRPr="00E755B4">
        <w:rPr>
          <w:rStyle w:val="FootnoteReference"/>
          <w:sz w:val="16"/>
        </w:rPr>
        <w:footnoteRef/>
      </w:r>
      <w:r w:rsidRPr="00E755B4">
        <w:rPr>
          <w:sz w:val="16"/>
        </w:rPr>
        <w:t xml:space="preserve"> The</w:t>
      </w:r>
      <w:r w:rsidR="00D666F4">
        <w:rPr>
          <w:sz w:val="16"/>
        </w:rPr>
        <w:t xml:space="preserve"> net sales</w:t>
      </w:r>
      <w:r w:rsidRPr="00E755B4">
        <w:rPr>
          <w:sz w:val="16"/>
        </w:rPr>
        <w:t xml:space="preserve"> data presented on this page does not include net sales of UCITS ETF domiciled in Luxembourg.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23C" w:rsidRDefault="003B223C">
    <w:pPr>
      <w:pStyle w:val="Header"/>
      <w:framePr w:wrap="auto" w:vAnchor="text" w:hAnchor="margin" w:xAlign="right" w:y="1"/>
      <w:rPr>
        <w:rStyle w:val="PageNumber"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PAGE  </w:instrText>
    </w:r>
    <w:r>
      <w:rPr>
        <w:rStyle w:val="PageNumber"/>
        <w:sz w:val="20"/>
        <w:szCs w:val="20"/>
      </w:rPr>
      <w:fldChar w:fldCharType="separate"/>
    </w:r>
    <w:r w:rsidR="00B13EA3">
      <w:rPr>
        <w:rStyle w:val="PageNumber"/>
        <w:noProof/>
        <w:sz w:val="20"/>
        <w:szCs w:val="20"/>
      </w:rPr>
      <w:t>9</w:t>
    </w:r>
    <w:r>
      <w:rPr>
        <w:rStyle w:val="PageNumber"/>
        <w:sz w:val="20"/>
        <w:szCs w:val="20"/>
      </w:rPr>
      <w:fldChar w:fldCharType="end"/>
    </w:r>
  </w:p>
  <w:p w:rsidR="003B223C" w:rsidRDefault="003B223C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44409"/>
    <w:multiLevelType w:val="hybridMultilevel"/>
    <w:tmpl w:val="8B049856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665968"/>
    <w:multiLevelType w:val="hybridMultilevel"/>
    <w:tmpl w:val="707A9B6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C0CEB"/>
    <w:multiLevelType w:val="hybridMultilevel"/>
    <w:tmpl w:val="E6BA0C3E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317CD0"/>
    <w:multiLevelType w:val="hybridMultilevel"/>
    <w:tmpl w:val="ECB0AA64"/>
    <w:lvl w:ilvl="0" w:tplc="16A40F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26C17"/>
    <w:multiLevelType w:val="hybridMultilevel"/>
    <w:tmpl w:val="D528DBB2"/>
    <w:lvl w:ilvl="0" w:tplc="8D7C54F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10B58"/>
    <w:multiLevelType w:val="hybridMultilevel"/>
    <w:tmpl w:val="B4FC9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E14BB"/>
    <w:multiLevelType w:val="hybridMultilevel"/>
    <w:tmpl w:val="A2BEE6F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922FCD"/>
    <w:multiLevelType w:val="hybridMultilevel"/>
    <w:tmpl w:val="552E4D6C"/>
    <w:lvl w:ilvl="0" w:tplc="8CDC36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4A150B"/>
    <w:multiLevelType w:val="hybridMultilevel"/>
    <w:tmpl w:val="E384F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4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5076C5"/>
    <w:multiLevelType w:val="hybridMultilevel"/>
    <w:tmpl w:val="5F9687AA"/>
    <w:lvl w:ilvl="0" w:tplc="A87048F8">
      <w:start w:val="2009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FB57D3"/>
    <w:multiLevelType w:val="hybridMultilevel"/>
    <w:tmpl w:val="25769C7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F951C9"/>
    <w:multiLevelType w:val="hybridMultilevel"/>
    <w:tmpl w:val="B9F68BB4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DC4BE8"/>
    <w:multiLevelType w:val="hybridMultilevel"/>
    <w:tmpl w:val="B49AFA7C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1960A07"/>
    <w:multiLevelType w:val="hybridMultilevel"/>
    <w:tmpl w:val="CA6E74AE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0065DB"/>
    <w:multiLevelType w:val="hybridMultilevel"/>
    <w:tmpl w:val="8BE4131E"/>
    <w:lvl w:ilvl="0" w:tplc="0813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BDE7362"/>
    <w:multiLevelType w:val="hybridMultilevel"/>
    <w:tmpl w:val="AD0A06FA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4016CD"/>
    <w:multiLevelType w:val="hybridMultilevel"/>
    <w:tmpl w:val="DC62446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C75585"/>
    <w:multiLevelType w:val="hybridMultilevel"/>
    <w:tmpl w:val="337A3E8E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1C723AC"/>
    <w:multiLevelType w:val="hybridMultilevel"/>
    <w:tmpl w:val="57C8FAB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E24F11"/>
    <w:multiLevelType w:val="hybridMultilevel"/>
    <w:tmpl w:val="11BA6A0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6F493C"/>
    <w:multiLevelType w:val="hybridMultilevel"/>
    <w:tmpl w:val="A56E0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73055D"/>
    <w:multiLevelType w:val="hybridMultilevel"/>
    <w:tmpl w:val="31340A3A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9A9099C"/>
    <w:multiLevelType w:val="hybridMultilevel"/>
    <w:tmpl w:val="50D8E044"/>
    <w:lvl w:ilvl="0" w:tplc="F81861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2D6BC6"/>
    <w:multiLevelType w:val="hybridMultilevel"/>
    <w:tmpl w:val="A6C6A15E"/>
    <w:lvl w:ilvl="0" w:tplc="AEE4F5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0D6081"/>
    <w:multiLevelType w:val="hybridMultilevel"/>
    <w:tmpl w:val="D9DC5040"/>
    <w:lvl w:ilvl="0" w:tplc="108E73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9522E28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7921A1"/>
    <w:multiLevelType w:val="hybridMultilevel"/>
    <w:tmpl w:val="6F9E8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F36C01"/>
    <w:multiLevelType w:val="hybridMultilevel"/>
    <w:tmpl w:val="63B829AE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8161019"/>
    <w:multiLevelType w:val="hybridMultilevel"/>
    <w:tmpl w:val="D604E262"/>
    <w:lvl w:ilvl="0" w:tplc="342AA9D4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CCE044A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DF3D86"/>
    <w:multiLevelType w:val="hybridMultilevel"/>
    <w:tmpl w:val="6ACEE474"/>
    <w:lvl w:ilvl="0" w:tplc="C4CC5C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F76C94"/>
    <w:multiLevelType w:val="hybridMultilevel"/>
    <w:tmpl w:val="8D207BB6"/>
    <w:lvl w:ilvl="0" w:tplc="0813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B977949"/>
    <w:multiLevelType w:val="hybridMultilevel"/>
    <w:tmpl w:val="EAB4B702"/>
    <w:lvl w:ilvl="0" w:tplc="A87048F8">
      <w:start w:val="2009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AB7BCB"/>
    <w:multiLevelType w:val="hybridMultilevel"/>
    <w:tmpl w:val="A202D1E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D36E15"/>
    <w:multiLevelType w:val="hybridMultilevel"/>
    <w:tmpl w:val="7FD47880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C5D205A"/>
    <w:multiLevelType w:val="hybridMultilevel"/>
    <w:tmpl w:val="0E0AFF06"/>
    <w:lvl w:ilvl="0" w:tplc="DA8232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321B15"/>
    <w:multiLevelType w:val="hybridMultilevel"/>
    <w:tmpl w:val="5BBA5F78"/>
    <w:lvl w:ilvl="0" w:tplc="1E4A7B9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EA64B90"/>
    <w:multiLevelType w:val="hybridMultilevel"/>
    <w:tmpl w:val="12C42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4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EE5079"/>
    <w:multiLevelType w:val="multilevel"/>
    <w:tmpl w:val="4BD80D06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7E33F1B"/>
    <w:multiLevelType w:val="hybridMultilevel"/>
    <w:tmpl w:val="6FD6D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4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255440"/>
    <w:multiLevelType w:val="hybridMultilevel"/>
    <w:tmpl w:val="C11034A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090879"/>
    <w:multiLevelType w:val="hybridMultilevel"/>
    <w:tmpl w:val="533C8DB2"/>
    <w:lvl w:ilvl="0" w:tplc="0368080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DC44C8F"/>
    <w:multiLevelType w:val="hybridMultilevel"/>
    <w:tmpl w:val="B27E4150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E225E62"/>
    <w:multiLevelType w:val="hybridMultilevel"/>
    <w:tmpl w:val="1A3AA00C"/>
    <w:lvl w:ilvl="0" w:tplc="036808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/>
      </w:rPr>
    </w:lvl>
    <w:lvl w:ilvl="1" w:tplc="9522E28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CC5CF4"/>
    <w:multiLevelType w:val="hybridMultilevel"/>
    <w:tmpl w:val="6F208198"/>
    <w:lvl w:ilvl="0" w:tplc="981CF2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2921FB"/>
    <w:multiLevelType w:val="hybridMultilevel"/>
    <w:tmpl w:val="747E9984"/>
    <w:lvl w:ilvl="0" w:tplc="2E92DC3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147848"/>
    <w:multiLevelType w:val="hybridMultilevel"/>
    <w:tmpl w:val="956CFC40"/>
    <w:lvl w:ilvl="0" w:tplc="08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B519F5"/>
    <w:multiLevelType w:val="hybridMultilevel"/>
    <w:tmpl w:val="7908B7DE"/>
    <w:lvl w:ilvl="0" w:tplc="C18A64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3F239A"/>
    <w:multiLevelType w:val="hybridMultilevel"/>
    <w:tmpl w:val="4CD4E80A"/>
    <w:lvl w:ilvl="0" w:tplc="E1D8CEE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21"/>
  </w:num>
  <w:num w:numId="4">
    <w:abstractNumId w:val="32"/>
  </w:num>
  <w:num w:numId="5">
    <w:abstractNumId w:val="26"/>
  </w:num>
  <w:num w:numId="6">
    <w:abstractNumId w:val="10"/>
  </w:num>
  <w:num w:numId="7">
    <w:abstractNumId w:val="30"/>
  </w:num>
  <w:num w:numId="8">
    <w:abstractNumId w:val="9"/>
  </w:num>
  <w:num w:numId="9">
    <w:abstractNumId w:val="27"/>
  </w:num>
  <w:num w:numId="10">
    <w:abstractNumId w:val="38"/>
  </w:num>
  <w:num w:numId="11">
    <w:abstractNumId w:val="40"/>
  </w:num>
  <w:num w:numId="12">
    <w:abstractNumId w:val="36"/>
  </w:num>
  <w:num w:numId="13">
    <w:abstractNumId w:val="13"/>
  </w:num>
  <w:num w:numId="14">
    <w:abstractNumId w:val="15"/>
  </w:num>
  <w:num w:numId="15">
    <w:abstractNumId w:val="0"/>
  </w:num>
  <w:num w:numId="16">
    <w:abstractNumId w:val="2"/>
  </w:num>
  <w:num w:numId="1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45"/>
  </w:num>
  <w:num w:numId="20">
    <w:abstractNumId w:val="3"/>
  </w:num>
  <w:num w:numId="21">
    <w:abstractNumId w:val="43"/>
  </w:num>
  <w:num w:numId="22">
    <w:abstractNumId w:val="7"/>
  </w:num>
  <w:num w:numId="23">
    <w:abstractNumId w:val="33"/>
  </w:num>
  <w:num w:numId="24">
    <w:abstractNumId w:val="42"/>
  </w:num>
  <w:num w:numId="2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3"/>
  </w:num>
  <w:num w:numId="28">
    <w:abstractNumId w:val="28"/>
  </w:num>
  <w:num w:numId="29">
    <w:abstractNumId w:val="24"/>
  </w:num>
  <w:num w:numId="30">
    <w:abstractNumId w:val="18"/>
  </w:num>
  <w:num w:numId="31">
    <w:abstractNumId w:val="19"/>
  </w:num>
  <w:num w:numId="32">
    <w:abstractNumId w:val="44"/>
  </w:num>
  <w:num w:numId="33">
    <w:abstractNumId w:val="34"/>
  </w:num>
  <w:num w:numId="34">
    <w:abstractNumId w:val="46"/>
  </w:num>
  <w:num w:numId="35">
    <w:abstractNumId w:val="5"/>
  </w:num>
  <w:num w:numId="36">
    <w:abstractNumId w:val="20"/>
  </w:num>
  <w:num w:numId="37">
    <w:abstractNumId w:val="8"/>
  </w:num>
  <w:num w:numId="38">
    <w:abstractNumId w:val="37"/>
  </w:num>
  <w:num w:numId="39">
    <w:abstractNumId w:val="35"/>
  </w:num>
  <w:num w:numId="40">
    <w:abstractNumId w:val="41"/>
  </w:num>
  <w:num w:numId="41">
    <w:abstractNumId w:val="39"/>
  </w:num>
  <w:num w:numId="42">
    <w:abstractNumId w:val="6"/>
  </w:num>
  <w:num w:numId="43">
    <w:abstractNumId w:val="12"/>
  </w:num>
  <w:num w:numId="44">
    <w:abstractNumId w:val="16"/>
  </w:num>
  <w:num w:numId="45">
    <w:abstractNumId w:val="31"/>
  </w:num>
  <w:num w:numId="46">
    <w:abstractNumId w:val="14"/>
  </w:num>
  <w:num w:numId="47">
    <w:abstractNumId w:val="29"/>
  </w:num>
  <w:num w:numId="48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4"/>
  <w:drawingGridVerticalSpacing w:val="14"/>
  <w:displayHorizontalDrawingGridEvery w:val="0"/>
  <w:displayVerticalDrawingGridEvery w:val="3"/>
  <w:doNotUseMarginsForDrawingGridOrigin/>
  <w:drawingGridHorizontalOrigin w:val="1699"/>
  <w:drawingGridVerticalOrigin w:val="1987"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F93"/>
    <w:rsid w:val="000003D0"/>
    <w:rsid w:val="00000909"/>
    <w:rsid w:val="00000E96"/>
    <w:rsid w:val="000021E2"/>
    <w:rsid w:val="00002C7A"/>
    <w:rsid w:val="0000557D"/>
    <w:rsid w:val="0000603C"/>
    <w:rsid w:val="000072E8"/>
    <w:rsid w:val="00007955"/>
    <w:rsid w:val="00010F20"/>
    <w:rsid w:val="00011437"/>
    <w:rsid w:val="00013347"/>
    <w:rsid w:val="00013601"/>
    <w:rsid w:val="000143F1"/>
    <w:rsid w:val="00015029"/>
    <w:rsid w:val="000156F4"/>
    <w:rsid w:val="00015A9A"/>
    <w:rsid w:val="00016869"/>
    <w:rsid w:val="0001687B"/>
    <w:rsid w:val="0001732B"/>
    <w:rsid w:val="00017503"/>
    <w:rsid w:val="00017F66"/>
    <w:rsid w:val="00020BB4"/>
    <w:rsid w:val="000240E8"/>
    <w:rsid w:val="000241F0"/>
    <w:rsid w:val="00024985"/>
    <w:rsid w:val="0002568C"/>
    <w:rsid w:val="000271CE"/>
    <w:rsid w:val="000277C2"/>
    <w:rsid w:val="00027DAD"/>
    <w:rsid w:val="00031C6F"/>
    <w:rsid w:val="00033C5A"/>
    <w:rsid w:val="00033F37"/>
    <w:rsid w:val="000345E8"/>
    <w:rsid w:val="000347A3"/>
    <w:rsid w:val="00034F2C"/>
    <w:rsid w:val="00035267"/>
    <w:rsid w:val="00036843"/>
    <w:rsid w:val="00036BB7"/>
    <w:rsid w:val="00037E90"/>
    <w:rsid w:val="00037F73"/>
    <w:rsid w:val="00040297"/>
    <w:rsid w:val="000405CD"/>
    <w:rsid w:val="000409C1"/>
    <w:rsid w:val="00040D1C"/>
    <w:rsid w:val="00040E7E"/>
    <w:rsid w:val="0004187C"/>
    <w:rsid w:val="000423E1"/>
    <w:rsid w:val="000438E1"/>
    <w:rsid w:val="00044211"/>
    <w:rsid w:val="00044B87"/>
    <w:rsid w:val="00045D50"/>
    <w:rsid w:val="00045E76"/>
    <w:rsid w:val="00045ED9"/>
    <w:rsid w:val="000463D0"/>
    <w:rsid w:val="00047145"/>
    <w:rsid w:val="00047D53"/>
    <w:rsid w:val="00047F76"/>
    <w:rsid w:val="00053322"/>
    <w:rsid w:val="00053AD6"/>
    <w:rsid w:val="00054657"/>
    <w:rsid w:val="00054D60"/>
    <w:rsid w:val="00056626"/>
    <w:rsid w:val="00056A30"/>
    <w:rsid w:val="00061A1C"/>
    <w:rsid w:val="00061C27"/>
    <w:rsid w:val="0006310F"/>
    <w:rsid w:val="00063CCB"/>
    <w:rsid w:val="00064214"/>
    <w:rsid w:val="000653F2"/>
    <w:rsid w:val="00066F76"/>
    <w:rsid w:val="00067DE3"/>
    <w:rsid w:val="00070171"/>
    <w:rsid w:val="0007093D"/>
    <w:rsid w:val="00070AA0"/>
    <w:rsid w:val="00070B33"/>
    <w:rsid w:val="000714A9"/>
    <w:rsid w:val="00071E2E"/>
    <w:rsid w:val="00072669"/>
    <w:rsid w:val="00073987"/>
    <w:rsid w:val="000744BE"/>
    <w:rsid w:val="00076D6E"/>
    <w:rsid w:val="000775A7"/>
    <w:rsid w:val="000779E5"/>
    <w:rsid w:val="00080D20"/>
    <w:rsid w:val="00081071"/>
    <w:rsid w:val="000817B9"/>
    <w:rsid w:val="00081B3F"/>
    <w:rsid w:val="0008254F"/>
    <w:rsid w:val="00082BB1"/>
    <w:rsid w:val="00083A2E"/>
    <w:rsid w:val="000843DD"/>
    <w:rsid w:val="000851B3"/>
    <w:rsid w:val="000864D3"/>
    <w:rsid w:val="00086B6E"/>
    <w:rsid w:val="0008706C"/>
    <w:rsid w:val="00087ABD"/>
    <w:rsid w:val="00087D87"/>
    <w:rsid w:val="000902A4"/>
    <w:rsid w:val="00090E01"/>
    <w:rsid w:val="00091523"/>
    <w:rsid w:val="00091E3D"/>
    <w:rsid w:val="000935F0"/>
    <w:rsid w:val="0009516D"/>
    <w:rsid w:val="00095564"/>
    <w:rsid w:val="00097037"/>
    <w:rsid w:val="00097675"/>
    <w:rsid w:val="00097964"/>
    <w:rsid w:val="000A0790"/>
    <w:rsid w:val="000A0BC0"/>
    <w:rsid w:val="000A2D59"/>
    <w:rsid w:val="000A3084"/>
    <w:rsid w:val="000A3923"/>
    <w:rsid w:val="000A3B29"/>
    <w:rsid w:val="000A77C2"/>
    <w:rsid w:val="000B03BD"/>
    <w:rsid w:val="000B0564"/>
    <w:rsid w:val="000B0B3D"/>
    <w:rsid w:val="000B378A"/>
    <w:rsid w:val="000B3DB4"/>
    <w:rsid w:val="000B466E"/>
    <w:rsid w:val="000B4EDD"/>
    <w:rsid w:val="000B5BBC"/>
    <w:rsid w:val="000B5BF1"/>
    <w:rsid w:val="000B6767"/>
    <w:rsid w:val="000B7C55"/>
    <w:rsid w:val="000C2946"/>
    <w:rsid w:val="000C2E9E"/>
    <w:rsid w:val="000C345C"/>
    <w:rsid w:val="000C394B"/>
    <w:rsid w:val="000C3AB6"/>
    <w:rsid w:val="000C5134"/>
    <w:rsid w:val="000C522E"/>
    <w:rsid w:val="000C561E"/>
    <w:rsid w:val="000C6D7A"/>
    <w:rsid w:val="000C79A6"/>
    <w:rsid w:val="000D143A"/>
    <w:rsid w:val="000D1521"/>
    <w:rsid w:val="000D1C75"/>
    <w:rsid w:val="000D2C47"/>
    <w:rsid w:val="000D2E16"/>
    <w:rsid w:val="000D2F8E"/>
    <w:rsid w:val="000D3D28"/>
    <w:rsid w:val="000D4CD9"/>
    <w:rsid w:val="000D50FA"/>
    <w:rsid w:val="000D639B"/>
    <w:rsid w:val="000D7292"/>
    <w:rsid w:val="000D732B"/>
    <w:rsid w:val="000E08F1"/>
    <w:rsid w:val="000E3420"/>
    <w:rsid w:val="000E3C2A"/>
    <w:rsid w:val="000E4B97"/>
    <w:rsid w:val="000E6434"/>
    <w:rsid w:val="000E774C"/>
    <w:rsid w:val="000E7B92"/>
    <w:rsid w:val="000E7DB4"/>
    <w:rsid w:val="000F0315"/>
    <w:rsid w:val="000F0527"/>
    <w:rsid w:val="000F0993"/>
    <w:rsid w:val="000F1A5C"/>
    <w:rsid w:val="000F35B3"/>
    <w:rsid w:val="000F35E3"/>
    <w:rsid w:val="000F40D8"/>
    <w:rsid w:val="000F4E95"/>
    <w:rsid w:val="000F5251"/>
    <w:rsid w:val="000F54F4"/>
    <w:rsid w:val="000F5E1F"/>
    <w:rsid w:val="000F708B"/>
    <w:rsid w:val="000F7184"/>
    <w:rsid w:val="000F724B"/>
    <w:rsid w:val="00100B9A"/>
    <w:rsid w:val="00101721"/>
    <w:rsid w:val="001046B5"/>
    <w:rsid w:val="00104F7D"/>
    <w:rsid w:val="00105999"/>
    <w:rsid w:val="00105FAB"/>
    <w:rsid w:val="00106448"/>
    <w:rsid w:val="0010683D"/>
    <w:rsid w:val="001076C3"/>
    <w:rsid w:val="00110791"/>
    <w:rsid w:val="00114B2D"/>
    <w:rsid w:val="0011606B"/>
    <w:rsid w:val="001161C9"/>
    <w:rsid w:val="0011722D"/>
    <w:rsid w:val="00117719"/>
    <w:rsid w:val="0011779D"/>
    <w:rsid w:val="0012009C"/>
    <w:rsid w:val="001209A0"/>
    <w:rsid w:val="001213C2"/>
    <w:rsid w:val="001222DB"/>
    <w:rsid w:val="00122B81"/>
    <w:rsid w:val="00122D19"/>
    <w:rsid w:val="0012416B"/>
    <w:rsid w:val="001253E0"/>
    <w:rsid w:val="00125945"/>
    <w:rsid w:val="00125F61"/>
    <w:rsid w:val="00126074"/>
    <w:rsid w:val="00127649"/>
    <w:rsid w:val="001300AD"/>
    <w:rsid w:val="00130439"/>
    <w:rsid w:val="00130C4A"/>
    <w:rsid w:val="00130E9F"/>
    <w:rsid w:val="0013191A"/>
    <w:rsid w:val="00131AFA"/>
    <w:rsid w:val="00132EDE"/>
    <w:rsid w:val="0013352C"/>
    <w:rsid w:val="00135F0F"/>
    <w:rsid w:val="001402F6"/>
    <w:rsid w:val="001408F3"/>
    <w:rsid w:val="001412B9"/>
    <w:rsid w:val="001419CC"/>
    <w:rsid w:val="00142022"/>
    <w:rsid w:val="001422B2"/>
    <w:rsid w:val="001423AB"/>
    <w:rsid w:val="00142E95"/>
    <w:rsid w:val="001434FB"/>
    <w:rsid w:val="001439C2"/>
    <w:rsid w:val="001441C6"/>
    <w:rsid w:val="001448D2"/>
    <w:rsid w:val="00145773"/>
    <w:rsid w:val="00145C9F"/>
    <w:rsid w:val="00145FCF"/>
    <w:rsid w:val="00146147"/>
    <w:rsid w:val="001462CD"/>
    <w:rsid w:val="00147B3F"/>
    <w:rsid w:val="0015022B"/>
    <w:rsid w:val="0015029A"/>
    <w:rsid w:val="0015053F"/>
    <w:rsid w:val="001523DA"/>
    <w:rsid w:val="00152932"/>
    <w:rsid w:val="00152993"/>
    <w:rsid w:val="0015494B"/>
    <w:rsid w:val="0015542F"/>
    <w:rsid w:val="00156178"/>
    <w:rsid w:val="00157CEC"/>
    <w:rsid w:val="00160631"/>
    <w:rsid w:val="00160B5C"/>
    <w:rsid w:val="001613E1"/>
    <w:rsid w:val="00161CCC"/>
    <w:rsid w:val="00162E35"/>
    <w:rsid w:val="00164941"/>
    <w:rsid w:val="00166286"/>
    <w:rsid w:val="001665DF"/>
    <w:rsid w:val="00166B5A"/>
    <w:rsid w:val="00170350"/>
    <w:rsid w:val="0017146B"/>
    <w:rsid w:val="00171BB7"/>
    <w:rsid w:val="00171DDB"/>
    <w:rsid w:val="001723CD"/>
    <w:rsid w:val="00172819"/>
    <w:rsid w:val="00175147"/>
    <w:rsid w:val="001760C4"/>
    <w:rsid w:val="0017685E"/>
    <w:rsid w:val="00176C6A"/>
    <w:rsid w:val="00177462"/>
    <w:rsid w:val="0018226D"/>
    <w:rsid w:val="00182AF2"/>
    <w:rsid w:val="0018397E"/>
    <w:rsid w:val="0018445D"/>
    <w:rsid w:val="00184946"/>
    <w:rsid w:val="00184F0C"/>
    <w:rsid w:val="00186213"/>
    <w:rsid w:val="0018697B"/>
    <w:rsid w:val="001872F0"/>
    <w:rsid w:val="00190C2E"/>
    <w:rsid w:val="0019142C"/>
    <w:rsid w:val="00191CF2"/>
    <w:rsid w:val="00192EE9"/>
    <w:rsid w:val="001939D8"/>
    <w:rsid w:val="0019438F"/>
    <w:rsid w:val="00194BDF"/>
    <w:rsid w:val="001950B8"/>
    <w:rsid w:val="001955BD"/>
    <w:rsid w:val="001A0AF1"/>
    <w:rsid w:val="001A17F7"/>
    <w:rsid w:val="001A1F1F"/>
    <w:rsid w:val="001A24AF"/>
    <w:rsid w:val="001A2C72"/>
    <w:rsid w:val="001A3416"/>
    <w:rsid w:val="001A38ED"/>
    <w:rsid w:val="001A415A"/>
    <w:rsid w:val="001A429E"/>
    <w:rsid w:val="001A4AE0"/>
    <w:rsid w:val="001A5368"/>
    <w:rsid w:val="001A6388"/>
    <w:rsid w:val="001A78C8"/>
    <w:rsid w:val="001A796E"/>
    <w:rsid w:val="001A7D95"/>
    <w:rsid w:val="001B2438"/>
    <w:rsid w:val="001B2AD9"/>
    <w:rsid w:val="001B42C4"/>
    <w:rsid w:val="001B4D3C"/>
    <w:rsid w:val="001B6FA7"/>
    <w:rsid w:val="001B7E06"/>
    <w:rsid w:val="001C056C"/>
    <w:rsid w:val="001C0A14"/>
    <w:rsid w:val="001C105D"/>
    <w:rsid w:val="001C1D5E"/>
    <w:rsid w:val="001C2BB5"/>
    <w:rsid w:val="001C41D6"/>
    <w:rsid w:val="001C5AA4"/>
    <w:rsid w:val="001C62BA"/>
    <w:rsid w:val="001C6C0A"/>
    <w:rsid w:val="001C6F81"/>
    <w:rsid w:val="001D0F2D"/>
    <w:rsid w:val="001D1357"/>
    <w:rsid w:val="001D1704"/>
    <w:rsid w:val="001D1987"/>
    <w:rsid w:val="001D1DEA"/>
    <w:rsid w:val="001D3469"/>
    <w:rsid w:val="001D3ABD"/>
    <w:rsid w:val="001D4458"/>
    <w:rsid w:val="001D5187"/>
    <w:rsid w:val="001D5C88"/>
    <w:rsid w:val="001D64CB"/>
    <w:rsid w:val="001D6932"/>
    <w:rsid w:val="001D6F22"/>
    <w:rsid w:val="001D6F41"/>
    <w:rsid w:val="001D6F93"/>
    <w:rsid w:val="001E0E39"/>
    <w:rsid w:val="001E17FE"/>
    <w:rsid w:val="001E1B11"/>
    <w:rsid w:val="001E1B12"/>
    <w:rsid w:val="001E30C4"/>
    <w:rsid w:val="001E381E"/>
    <w:rsid w:val="001E3E79"/>
    <w:rsid w:val="001E3FE4"/>
    <w:rsid w:val="001E5650"/>
    <w:rsid w:val="001E5FE9"/>
    <w:rsid w:val="001F1235"/>
    <w:rsid w:val="001F1A21"/>
    <w:rsid w:val="001F2456"/>
    <w:rsid w:val="001F247A"/>
    <w:rsid w:val="001F2D54"/>
    <w:rsid w:val="001F30F5"/>
    <w:rsid w:val="001F64B6"/>
    <w:rsid w:val="001F6781"/>
    <w:rsid w:val="001F6E56"/>
    <w:rsid w:val="001F6F91"/>
    <w:rsid w:val="001F776C"/>
    <w:rsid w:val="002004A7"/>
    <w:rsid w:val="00201275"/>
    <w:rsid w:val="00203CCC"/>
    <w:rsid w:val="002055B4"/>
    <w:rsid w:val="00206E8D"/>
    <w:rsid w:val="00207327"/>
    <w:rsid w:val="002077F1"/>
    <w:rsid w:val="00207A7A"/>
    <w:rsid w:val="0021192B"/>
    <w:rsid w:val="0021304C"/>
    <w:rsid w:val="00213509"/>
    <w:rsid w:val="00213FB7"/>
    <w:rsid w:val="00214752"/>
    <w:rsid w:val="0021584E"/>
    <w:rsid w:val="0021614B"/>
    <w:rsid w:val="002171EE"/>
    <w:rsid w:val="002179AA"/>
    <w:rsid w:val="00217A0A"/>
    <w:rsid w:val="00221202"/>
    <w:rsid w:val="00221E57"/>
    <w:rsid w:val="00222F89"/>
    <w:rsid w:val="0022354A"/>
    <w:rsid w:val="00223783"/>
    <w:rsid w:val="0022448F"/>
    <w:rsid w:val="002265B4"/>
    <w:rsid w:val="00227060"/>
    <w:rsid w:val="00227825"/>
    <w:rsid w:val="00227C9D"/>
    <w:rsid w:val="00230194"/>
    <w:rsid w:val="002319CA"/>
    <w:rsid w:val="00232977"/>
    <w:rsid w:val="00233031"/>
    <w:rsid w:val="002349AE"/>
    <w:rsid w:val="00234A45"/>
    <w:rsid w:val="002354D9"/>
    <w:rsid w:val="00235A51"/>
    <w:rsid w:val="00235BFD"/>
    <w:rsid w:val="00236247"/>
    <w:rsid w:val="00242337"/>
    <w:rsid w:val="002429CC"/>
    <w:rsid w:val="002429E3"/>
    <w:rsid w:val="00242A62"/>
    <w:rsid w:val="00243327"/>
    <w:rsid w:val="00243A27"/>
    <w:rsid w:val="00243C88"/>
    <w:rsid w:val="00246616"/>
    <w:rsid w:val="0024688C"/>
    <w:rsid w:val="00247CF8"/>
    <w:rsid w:val="00250596"/>
    <w:rsid w:val="00250678"/>
    <w:rsid w:val="002517AF"/>
    <w:rsid w:val="002535E4"/>
    <w:rsid w:val="002539E5"/>
    <w:rsid w:val="002548EA"/>
    <w:rsid w:val="0025518C"/>
    <w:rsid w:val="002556EB"/>
    <w:rsid w:val="00256D10"/>
    <w:rsid w:val="002575F4"/>
    <w:rsid w:val="00260737"/>
    <w:rsid w:val="00261CDE"/>
    <w:rsid w:val="0026277B"/>
    <w:rsid w:val="00262840"/>
    <w:rsid w:val="0026297C"/>
    <w:rsid w:val="002636D8"/>
    <w:rsid w:val="0026465F"/>
    <w:rsid w:val="00264C0F"/>
    <w:rsid w:val="00265448"/>
    <w:rsid w:val="00266299"/>
    <w:rsid w:val="00267315"/>
    <w:rsid w:val="0026782C"/>
    <w:rsid w:val="00267C95"/>
    <w:rsid w:val="0027129D"/>
    <w:rsid w:val="00271613"/>
    <w:rsid w:val="00271D82"/>
    <w:rsid w:val="002722AF"/>
    <w:rsid w:val="002725E4"/>
    <w:rsid w:val="002730C0"/>
    <w:rsid w:val="00274031"/>
    <w:rsid w:val="0027558D"/>
    <w:rsid w:val="00275E5C"/>
    <w:rsid w:val="002770D3"/>
    <w:rsid w:val="00277204"/>
    <w:rsid w:val="0028266E"/>
    <w:rsid w:val="00283F1E"/>
    <w:rsid w:val="0028590F"/>
    <w:rsid w:val="00286411"/>
    <w:rsid w:val="00286DC4"/>
    <w:rsid w:val="00287526"/>
    <w:rsid w:val="002875E1"/>
    <w:rsid w:val="00287AF5"/>
    <w:rsid w:val="0029111E"/>
    <w:rsid w:val="00292DC3"/>
    <w:rsid w:val="00294156"/>
    <w:rsid w:val="0029445C"/>
    <w:rsid w:val="00294D10"/>
    <w:rsid w:val="00295B41"/>
    <w:rsid w:val="00296058"/>
    <w:rsid w:val="00297212"/>
    <w:rsid w:val="002A0F6B"/>
    <w:rsid w:val="002A1355"/>
    <w:rsid w:val="002A152F"/>
    <w:rsid w:val="002A1C33"/>
    <w:rsid w:val="002A28E9"/>
    <w:rsid w:val="002A4E57"/>
    <w:rsid w:val="002A5CF9"/>
    <w:rsid w:val="002B0474"/>
    <w:rsid w:val="002B19ED"/>
    <w:rsid w:val="002B2664"/>
    <w:rsid w:val="002B2AAE"/>
    <w:rsid w:val="002B4012"/>
    <w:rsid w:val="002B463B"/>
    <w:rsid w:val="002B5177"/>
    <w:rsid w:val="002B5C1C"/>
    <w:rsid w:val="002B5E0E"/>
    <w:rsid w:val="002C08C1"/>
    <w:rsid w:val="002C2FBB"/>
    <w:rsid w:val="002C3A30"/>
    <w:rsid w:val="002C5075"/>
    <w:rsid w:val="002C56BE"/>
    <w:rsid w:val="002C61A6"/>
    <w:rsid w:val="002C61C1"/>
    <w:rsid w:val="002C628C"/>
    <w:rsid w:val="002C6972"/>
    <w:rsid w:val="002C7368"/>
    <w:rsid w:val="002C73F9"/>
    <w:rsid w:val="002C7662"/>
    <w:rsid w:val="002C79F5"/>
    <w:rsid w:val="002D03F1"/>
    <w:rsid w:val="002D184B"/>
    <w:rsid w:val="002D1CDE"/>
    <w:rsid w:val="002D3B7C"/>
    <w:rsid w:val="002D513D"/>
    <w:rsid w:val="002D5B99"/>
    <w:rsid w:val="002D64C0"/>
    <w:rsid w:val="002D6934"/>
    <w:rsid w:val="002E07BD"/>
    <w:rsid w:val="002E0E82"/>
    <w:rsid w:val="002E1ABB"/>
    <w:rsid w:val="002E1D0E"/>
    <w:rsid w:val="002E2AE5"/>
    <w:rsid w:val="002E58FE"/>
    <w:rsid w:val="002F3D2B"/>
    <w:rsid w:val="002F52F7"/>
    <w:rsid w:val="002F5A4F"/>
    <w:rsid w:val="002F607B"/>
    <w:rsid w:val="002F6217"/>
    <w:rsid w:val="002F64F1"/>
    <w:rsid w:val="002F719E"/>
    <w:rsid w:val="003003DC"/>
    <w:rsid w:val="0030081D"/>
    <w:rsid w:val="003029B6"/>
    <w:rsid w:val="0030583B"/>
    <w:rsid w:val="00305A8E"/>
    <w:rsid w:val="003062AF"/>
    <w:rsid w:val="0030665B"/>
    <w:rsid w:val="0030697D"/>
    <w:rsid w:val="0030698D"/>
    <w:rsid w:val="0030702D"/>
    <w:rsid w:val="0030757B"/>
    <w:rsid w:val="0031033B"/>
    <w:rsid w:val="0031048C"/>
    <w:rsid w:val="0031055B"/>
    <w:rsid w:val="00310BED"/>
    <w:rsid w:val="003114AD"/>
    <w:rsid w:val="003117F0"/>
    <w:rsid w:val="003117F8"/>
    <w:rsid w:val="00311B9E"/>
    <w:rsid w:val="00311F0F"/>
    <w:rsid w:val="003122FF"/>
    <w:rsid w:val="0031291A"/>
    <w:rsid w:val="00312C7D"/>
    <w:rsid w:val="00313F4F"/>
    <w:rsid w:val="00314327"/>
    <w:rsid w:val="00314CCB"/>
    <w:rsid w:val="00315450"/>
    <w:rsid w:val="00315D89"/>
    <w:rsid w:val="00315DFC"/>
    <w:rsid w:val="003176BF"/>
    <w:rsid w:val="00317C68"/>
    <w:rsid w:val="0032014A"/>
    <w:rsid w:val="0032133C"/>
    <w:rsid w:val="00321677"/>
    <w:rsid w:val="003219C2"/>
    <w:rsid w:val="00321FA6"/>
    <w:rsid w:val="0032233D"/>
    <w:rsid w:val="00322D02"/>
    <w:rsid w:val="00322F36"/>
    <w:rsid w:val="0032302B"/>
    <w:rsid w:val="00323042"/>
    <w:rsid w:val="00325008"/>
    <w:rsid w:val="003257CC"/>
    <w:rsid w:val="00326400"/>
    <w:rsid w:val="0032642C"/>
    <w:rsid w:val="0033001B"/>
    <w:rsid w:val="003305E6"/>
    <w:rsid w:val="0033138B"/>
    <w:rsid w:val="00331925"/>
    <w:rsid w:val="003326DF"/>
    <w:rsid w:val="0033365A"/>
    <w:rsid w:val="00333891"/>
    <w:rsid w:val="00334337"/>
    <w:rsid w:val="00334837"/>
    <w:rsid w:val="00335314"/>
    <w:rsid w:val="00335663"/>
    <w:rsid w:val="003357FA"/>
    <w:rsid w:val="003360DF"/>
    <w:rsid w:val="00336F3E"/>
    <w:rsid w:val="00340C4D"/>
    <w:rsid w:val="00340C78"/>
    <w:rsid w:val="0034142A"/>
    <w:rsid w:val="00342991"/>
    <w:rsid w:val="003430E5"/>
    <w:rsid w:val="0034322D"/>
    <w:rsid w:val="003434D1"/>
    <w:rsid w:val="00345C16"/>
    <w:rsid w:val="00346294"/>
    <w:rsid w:val="00346F5B"/>
    <w:rsid w:val="00347015"/>
    <w:rsid w:val="003472B6"/>
    <w:rsid w:val="0035065B"/>
    <w:rsid w:val="00351BCD"/>
    <w:rsid w:val="00351E43"/>
    <w:rsid w:val="00352A29"/>
    <w:rsid w:val="00352A2F"/>
    <w:rsid w:val="00352E9D"/>
    <w:rsid w:val="00354F01"/>
    <w:rsid w:val="003553D7"/>
    <w:rsid w:val="003562CE"/>
    <w:rsid w:val="00356887"/>
    <w:rsid w:val="00356FF2"/>
    <w:rsid w:val="00357414"/>
    <w:rsid w:val="003600A2"/>
    <w:rsid w:val="00360349"/>
    <w:rsid w:val="00362DBD"/>
    <w:rsid w:val="00363FB9"/>
    <w:rsid w:val="0036475D"/>
    <w:rsid w:val="00365540"/>
    <w:rsid w:val="00366C64"/>
    <w:rsid w:val="0037100A"/>
    <w:rsid w:val="00372324"/>
    <w:rsid w:val="00372635"/>
    <w:rsid w:val="00374C47"/>
    <w:rsid w:val="00374FDC"/>
    <w:rsid w:val="003764CE"/>
    <w:rsid w:val="0037676A"/>
    <w:rsid w:val="003769E8"/>
    <w:rsid w:val="0037795D"/>
    <w:rsid w:val="00377DEA"/>
    <w:rsid w:val="00380248"/>
    <w:rsid w:val="00381381"/>
    <w:rsid w:val="0038390E"/>
    <w:rsid w:val="00384667"/>
    <w:rsid w:val="00384C2E"/>
    <w:rsid w:val="00385425"/>
    <w:rsid w:val="0038543C"/>
    <w:rsid w:val="00385743"/>
    <w:rsid w:val="00386BB7"/>
    <w:rsid w:val="00387F2D"/>
    <w:rsid w:val="00390F18"/>
    <w:rsid w:val="00391A9E"/>
    <w:rsid w:val="00392F10"/>
    <w:rsid w:val="00392FF2"/>
    <w:rsid w:val="003939BD"/>
    <w:rsid w:val="00394D72"/>
    <w:rsid w:val="00394F1C"/>
    <w:rsid w:val="003968FB"/>
    <w:rsid w:val="00397F8C"/>
    <w:rsid w:val="003A04B3"/>
    <w:rsid w:val="003A061D"/>
    <w:rsid w:val="003A06A0"/>
    <w:rsid w:val="003A190E"/>
    <w:rsid w:val="003A19A7"/>
    <w:rsid w:val="003A1FBD"/>
    <w:rsid w:val="003A2440"/>
    <w:rsid w:val="003A3BD9"/>
    <w:rsid w:val="003A3F58"/>
    <w:rsid w:val="003A453F"/>
    <w:rsid w:val="003A4BFA"/>
    <w:rsid w:val="003A4EC0"/>
    <w:rsid w:val="003A4F0E"/>
    <w:rsid w:val="003A5573"/>
    <w:rsid w:val="003A5DA8"/>
    <w:rsid w:val="003A7EEA"/>
    <w:rsid w:val="003B04E5"/>
    <w:rsid w:val="003B0C08"/>
    <w:rsid w:val="003B10E1"/>
    <w:rsid w:val="003B1A37"/>
    <w:rsid w:val="003B223C"/>
    <w:rsid w:val="003B2336"/>
    <w:rsid w:val="003B3142"/>
    <w:rsid w:val="003B3931"/>
    <w:rsid w:val="003B5A20"/>
    <w:rsid w:val="003B64BC"/>
    <w:rsid w:val="003B799A"/>
    <w:rsid w:val="003C05DF"/>
    <w:rsid w:val="003C0DD0"/>
    <w:rsid w:val="003C185A"/>
    <w:rsid w:val="003C4E97"/>
    <w:rsid w:val="003C52D0"/>
    <w:rsid w:val="003C599A"/>
    <w:rsid w:val="003C6C20"/>
    <w:rsid w:val="003C6D24"/>
    <w:rsid w:val="003C70D8"/>
    <w:rsid w:val="003C74AD"/>
    <w:rsid w:val="003C7862"/>
    <w:rsid w:val="003D03A0"/>
    <w:rsid w:val="003D0DAC"/>
    <w:rsid w:val="003D12AD"/>
    <w:rsid w:val="003D14DC"/>
    <w:rsid w:val="003D28C2"/>
    <w:rsid w:val="003D2AF0"/>
    <w:rsid w:val="003D44FD"/>
    <w:rsid w:val="003D4FE4"/>
    <w:rsid w:val="003D6022"/>
    <w:rsid w:val="003D6A37"/>
    <w:rsid w:val="003D707A"/>
    <w:rsid w:val="003E0B22"/>
    <w:rsid w:val="003E14E8"/>
    <w:rsid w:val="003E1533"/>
    <w:rsid w:val="003E2025"/>
    <w:rsid w:val="003E43DA"/>
    <w:rsid w:val="003E44BE"/>
    <w:rsid w:val="003E4EC7"/>
    <w:rsid w:val="003E5CCD"/>
    <w:rsid w:val="003E75D5"/>
    <w:rsid w:val="003E789F"/>
    <w:rsid w:val="003F103A"/>
    <w:rsid w:val="003F1568"/>
    <w:rsid w:val="003F1657"/>
    <w:rsid w:val="003F2658"/>
    <w:rsid w:val="003F339C"/>
    <w:rsid w:val="003F39E6"/>
    <w:rsid w:val="003F3C39"/>
    <w:rsid w:val="003F5876"/>
    <w:rsid w:val="003F6695"/>
    <w:rsid w:val="003F7060"/>
    <w:rsid w:val="003F7560"/>
    <w:rsid w:val="003F7CC7"/>
    <w:rsid w:val="004016AA"/>
    <w:rsid w:val="004018E6"/>
    <w:rsid w:val="00402C7E"/>
    <w:rsid w:val="00402E38"/>
    <w:rsid w:val="00402FA0"/>
    <w:rsid w:val="004030C0"/>
    <w:rsid w:val="00403B05"/>
    <w:rsid w:val="00404266"/>
    <w:rsid w:val="004049D9"/>
    <w:rsid w:val="00404F60"/>
    <w:rsid w:val="00405516"/>
    <w:rsid w:val="004056A5"/>
    <w:rsid w:val="00406161"/>
    <w:rsid w:val="00406284"/>
    <w:rsid w:val="0040634B"/>
    <w:rsid w:val="00407AC5"/>
    <w:rsid w:val="00410A1C"/>
    <w:rsid w:val="0041184A"/>
    <w:rsid w:val="00412C9E"/>
    <w:rsid w:val="00414492"/>
    <w:rsid w:val="00415958"/>
    <w:rsid w:val="00416929"/>
    <w:rsid w:val="00416A32"/>
    <w:rsid w:val="00420E50"/>
    <w:rsid w:val="0042168A"/>
    <w:rsid w:val="00423400"/>
    <w:rsid w:val="0042353E"/>
    <w:rsid w:val="0042359B"/>
    <w:rsid w:val="00423F08"/>
    <w:rsid w:val="00424E86"/>
    <w:rsid w:val="00425397"/>
    <w:rsid w:val="00426E6E"/>
    <w:rsid w:val="004274BB"/>
    <w:rsid w:val="004315BE"/>
    <w:rsid w:val="0043381E"/>
    <w:rsid w:val="00433AEA"/>
    <w:rsid w:val="00433C4D"/>
    <w:rsid w:val="00434482"/>
    <w:rsid w:val="004362AC"/>
    <w:rsid w:val="00440650"/>
    <w:rsid w:val="00440A1B"/>
    <w:rsid w:val="0044259E"/>
    <w:rsid w:val="004433DE"/>
    <w:rsid w:val="004439A4"/>
    <w:rsid w:val="00443F7F"/>
    <w:rsid w:val="004442E9"/>
    <w:rsid w:val="00445947"/>
    <w:rsid w:val="00445C3F"/>
    <w:rsid w:val="00445EFF"/>
    <w:rsid w:val="00446FCF"/>
    <w:rsid w:val="00447ED7"/>
    <w:rsid w:val="00450B9E"/>
    <w:rsid w:val="00450EDA"/>
    <w:rsid w:val="00450EF2"/>
    <w:rsid w:val="00451832"/>
    <w:rsid w:val="00451A58"/>
    <w:rsid w:val="00451B3D"/>
    <w:rsid w:val="00452F5B"/>
    <w:rsid w:val="004538B6"/>
    <w:rsid w:val="00457C40"/>
    <w:rsid w:val="00457E53"/>
    <w:rsid w:val="0046048A"/>
    <w:rsid w:val="00460AFC"/>
    <w:rsid w:val="00460FC1"/>
    <w:rsid w:val="00461A09"/>
    <w:rsid w:val="004625CA"/>
    <w:rsid w:val="00463D67"/>
    <w:rsid w:val="00465484"/>
    <w:rsid w:val="004663A4"/>
    <w:rsid w:val="00466455"/>
    <w:rsid w:val="004677BD"/>
    <w:rsid w:val="0047012D"/>
    <w:rsid w:val="004701C4"/>
    <w:rsid w:val="004704F2"/>
    <w:rsid w:val="00470BE2"/>
    <w:rsid w:val="00472B71"/>
    <w:rsid w:val="00473400"/>
    <w:rsid w:val="004737C1"/>
    <w:rsid w:val="00473B0A"/>
    <w:rsid w:val="0047560B"/>
    <w:rsid w:val="00475A24"/>
    <w:rsid w:val="00475E07"/>
    <w:rsid w:val="00477730"/>
    <w:rsid w:val="00477B24"/>
    <w:rsid w:val="00477E59"/>
    <w:rsid w:val="00477F43"/>
    <w:rsid w:val="00480145"/>
    <w:rsid w:val="0048077B"/>
    <w:rsid w:val="004809C7"/>
    <w:rsid w:val="00481466"/>
    <w:rsid w:val="00483333"/>
    <w:rsid w:val="00483418"/>
    <w:rsid w:val="0048653A"/>
    <w:rsid w:val="00486FD6"/>
    <w:rsid w:val="00487031"/>
    <w:rsid w:val="00487241"/>
    <w:rsid w:val="00487A3A"/>
    <w:rsid w:val="00487A92"/>
    <w:rsid w:val="004903E8"/>
    <w:rsid w:val="00490C6B"/>
    <w:rsid w:val="004910B0"/>
    <w:rsid w:val="004927BB"/>
    <w:rsid w:val="004929DF"/>
    <w:rsid w:val="00492B0E"/>
    <w:rsid w:val="00493D34"/>
    <w:rsid w:val="00493FB4"/>
    <w:rsid w:val="00494046"/>
    <w:rsid w:val="0049437C"/>
    <w:rsid w:val="00495840"/>
    <w:rsid w:val="0049791D"/>
    <w:rsid w:val="00497A7A"/>
    <w:rsid w:val="00497EFB"/>
    <w:rsid w:val="004A071E"/>
    <w:rsid w:val="004A2408"/>
    <w:rsid w:val="004A2B0C"/>
    <w:rsid w:val="004A2B5C"/>
    <w:rsid w:val="004A2B81"/>
    <w:rsid w:val="004A2D03"/>
    <w:rsid w:val="004A2E6C"/>
    <w:rsid w:val="004A3139"/>
    <w:rsid w:val="004A31C4"/>
    <w:rsid w:val="004A34D9"/>
    <w:rsid w:val="004A3625"/>
    <w:rsid w:val="004A3F0F"/>
    <w:rsid w:val="004A4AB6"/>
    <w:rsid w:val="004A4BEF"/>
    <w:rsid w:val="004A4D59"/>
    <w:rsid w:val="004A6124"/>
    <w:rsid w:val="004A6564"/>
    <w:rsid w:val="004A6B13"/>
    <w:rsid w:val="004A6B17"/>
    <w:rsid w:val="004A71C7"/>
    <w:rsid w:val="004A7865"/>
    <w:rsid w:val="004B03A1"/>
    <w:rsid w:val="004B052E"/>
    <w:rsid w:val="004B0830"/>
    <w:rsid w:val="004B0B82"/>
    <w:rsid w:val="004B170E"/>
    <w:rsid w:val="004B44B7"/>
    <w:rsid w:val="004B5166"/>
    <w:rsid w:val="004B59A9"/>
    <w:rsid w:val="004B5F9B"/>
    <w:rsid w:val="004B7F90"/>
    <w:rsid w:val="004C0182"/>
    <w:rsid w:val="004C06E4"/>
    <w:rsid w:val="004C1DF0"/>
    <w:rsid w:val="004C1F55"/>
    <w:rsid w:val="004C2FE0"/>
    <w:rsid w:val="004C50D8"/>
    <w:rsid w:val="004C5AB0"/>
    <w:rsid w:val="004C748E"/>
    <w:rsid w:val="004C7F1A"/>
    <w:rsid w:val="004D1725"/>
    <w:rsid w:val="004D29A8"/>
    <w:rsid w:val="004D39E2"/>
    <w:rsid w:val="004D3A40"/>
    <w:rsid w:val="004D51A7"/>
    <w:rsid w:val="004D5F7C"/>
    <w:rsid w:val="004D61FB"/>
    <w:rsid w:val="004D630F"/>
    <w:rsid w:val="004E01AB"/>
    <w:rsid w:val="004E05E8"/>
    <w:rsid w:val="004E1534"/>
    <w:rsid w:val="004E1ED6"/>
    <w:rsid w:val="004E2CE2"/>
    <w:rsid w:val="004E31CD"/>
    <w:rsid w:val="004E3221"/>
    <w:rsid w:val="004E3EE5"/>
    <w:rsid w:val="004E489E"/>
    <w:rsid w:val="004E50EA"/>
    <w:rsid w:val="004E5829"/>
    <w:rsid w:val="004E6302"/>
    <w:rsid w:val="004E6EDE"/>
    <w:rsid w:val="004F14D0"/>
    <w:rsid w:val="004F2465"/>
    <w:rsid w:val="004F2861"/>
    <w:rsid w:val="004F4056"/>
    <w:rsid w:val="004F45CD"/>
    <w:rsid w:val="004F54B5"/>
    <w:rsid w:val="00500613"/>
    <w:rsid w:val="00500F0C"/>
    <w:rsid w:val="00502D22"/>
    <w:rsid w:val="005033E0"/>
    <w:rsid w:val="0050417D"/>
    <w:rsid w:val="00504806"/>
    <w:rsid w:val="00506FE7"/>
    <w:rsid w:val="00511975"/>
    <w:rsid w:val="005129F4"/>
    <w:rsid w:val="00512BB8"/>
    <w:rsid w:val="00514C11"/>
    <w:rsid w:val="005155DD"/>
    <w:rsid w:val="00515AD2"/>
    <w:rsid w:val="00516CA7"/>
    <w:rsid w:val="005174ED"/>
    <w:rsid w:val="0052156B"/>
    <w:rsid w:val="005237A0"/>
    <w:rsid w:val="00523D5F"/>
    <w:rsid w:val="00524018"/>
    <w:rsid w:val="00525266"/>
    <w:rsid w:val="00525298"/>
    <w:rsid w:val="00525697"/>
    <w:rsid w:val="00533CDD"/>
    <w:rsid w:val="005344A2"/>
    <w:rsid w:val="005344AB"/>
    <w:rsid w:val="00534709"/>
    <w:rsid w:val="00534F74"/>
    <w:rsid w:val="00535694"/>
    <w:rsid w:val="00535804"/>
    <w:rsid w:val="00535A91"/>
    <w:rsid w:val="00536293"/>
    <w:rsid w:val="00536746"/>
    <w:rsid w:val="00536C24"/>
    <w:rsid w:val="0054198C"/>
    <w:rsid w:val="00541CF0"/>
    <w:rsid w:val="00543046"/>
    <w:rsid w:val="00546917"/>
    <w:rsid w:val="00546C12"/>
    <w:rsid w:val="005472C9"/>
    <w:rsid w:val="00550276"/>
    <w:rsid w:val="00550A2E"/>
    <w:rsid w:val="00552756"/>
    <w:rsid w:val="005538AF"/>
    <w:rsid w:val="00554889"/>
    <w:rsid w:val="00554BCD"/>
    <w:rsid w:val="0055540D"/>
    <w:rsid w:val="005567B5"/>
    <w:rsid w:val="00556B0C"/>
    <w:rsid w:val="00561FC3"/>
    <w:rsid w:val="00562324"/>
    <w:rsid w:val="005647FA"/>
    <w:rsid w:val="00564F28"/>
    <w:rsid w:val="0056559B"/>
    <w:rsid w:val="00565930"/>
    <w:rsid w:val="00565948"/>
    <w:rsid w:val="00566056"/>
    <w:rsid w:val="005670F0"/>
    <w:rsid w:val="005673F5"/>
    <w:rsid w:val="00573121"/>
    <w:rsid w:val="00573427"/>
    <w:rsid w:val="005736D1"/>
    <w:rsid w:val="0057426D"/>
    <w:rsid w:val="005762A3"/>
    <w:rsid w:val="00583767"/>
    <w:rsid w:val="00583E5B"/>
    <w:rsid w:val="00584832"/>
    <w:rsid w:val="00584F54"/>
    <w:rsid w:val="00585C73"/>
    <w:rsid w:val="00585FCC"/>
    <w:rsid w:val="00587AA5"/>
    <w:rsid w:val="00587D23"/>
    <w:rsid w:val="00590F79"/>
    <w:rsid w:val="005918E6"/>
    <w:rsid w:val="00592C87"/>
    <w:rsid w:val="00592D91"/>
    <w:rsid w:val="00593397"/>
    <w:rsid w:val="0059538E"/>
    <w:rsid w:val="005A0F89"/>
    <w:rsid w:val="005A104F"/>
    <w:rsid w:val="005A1133"/>
    <w:rsid w:val="005A1B2B"/>
    <w:rsid w:val="005A3A65"/>
    <w:rsid w:val="005A3CD3"/>
    <w:rsid w:val="005A4603"/>
    <w:rsid w:val="005A4850"/>
    <w:rsid w:val="005A568E"/>
    <w:rsid w:val="005A5B50"/>
    <w:rsid w:val="005A669F"/>
    <w:rsid w:val="005A6AD5"/>
    <w:rsid w:val="005A6C00"/>
    <w:rsid w:val="005A704F"/>
    <w:rsid w:val="005A7142"/>
    <w:rsid w:val="005B1A16"/>
    <w:rsid w:val="005B1F0F"/>
    <w:rsid w:val="005B2907"/>
    <w:rsid w:val="005B3189"/>
    <w:rsid w:val="005B50A5"/>
    <w:rsid w:val="005B5B72"/>
    <w:rsid w:val="005B7431"/>
    <w:rsid w:val="005B7ACB"/>
    <w:rsid w:val="005C061E"/>
    <w:rsid w:val="005C0962"/>
    <w:rsid w:val="005C0D0B"/>
    <w:rsid w:val="005C1129"/>
    <w:rsid w:val="005C1C18"/>
    <w:rsid w:val="005C2298"/>
    <w:rsid w:val="005C303E"/>
    <w:rsid w:val="005C394F"/>
    <w:rsid w:val="005C4286"/>
    <w:rsid w:val="005C586B"/>
    <w:rsid w:val="005C58DB"/>
    <w:rsid w:val="005C7DF7"/>
    <w:rsid w:val="005D081A"/>
    <w:rsid w:val="005D2880"/>
    <w:rsid w:val="005D3119"/>
    <w:rsid w:val="005D31AA"/>
    <w:rsid w:val="005D31EF"/>
    <w:rsid w:val="005D3DCB"/>
    <w:rsid w:val="005D53E6"/>
    <w:rsid w:val="005D59E8"/>
    <w:rsid w:val="005D5CEA"/>
    <w:rsid w:val="005D6BF5"/>
    <w:rsid w:val="005D7009"/>
    <w:rsid w:val="005D70B4"/>
    <w:rsid w:val="005D7D83"/>
    <w:rsid w:val="005E0AFA"/>
    <w:rsid w:val="005E1309"/>
    <w:rsid w:val="005E17CE"/>
    <w:rsid w:val="005E1935"/>
    <w:rsid w:val="005E1BD0"/>
    <w:rsid w:val="005E1BDE"/>
    <w:rsid w:val="005E29C5"/>
    <w:rsid w:val="005E3520"/>
    <w:rsid w:val="005E3B02"/>
    <w:rsid w:val="005E470F"/>
    <w:rsid w:val="005E4E2F"/>
    <w:rsid w:val="005E52A5"/>
    <w:rsid w:val="005E52AF"/>
    <w:rsid w:val="005E5423"/>
    <w:rsid w:val="005E57F9"/>
    <w:rsid w:val="005E6B7B"/>
    <w:rsid w:val="005E70DE"/>
    <w:rsid w:val="005E7EDD"/>
    <w:rsid w:val="005F0679"/>
    <w:rsid w:val="005F0682"/>
    <w:rsid w:val="005F0AC2"/>
    <w:rsid w:val="005F0CEC"/>
    <w:rsid w:val="005F13EC"/>
    <w:rsid w:val="005F14DF"/>
    <w:rsid w:val="005F23F1"/>
    <w:rsid w:val="005F2CD7"/>
    <w:rsid w:val="005F3159"/>
    <w:rsid w:val="005F33ED"/>
    <w:rsid w:val="005F56CA"/>
    <w:rsid w:val="005F5F6F"/>
    <w:rsid w:val="005F73C8"/>
    <w:rsid w:val="005F7C93"/>
    <w:rsid w:val="0060036C"/>
    <w:rsid w:val="00600F2E"/>
    <w:rsid w:val="00601C67"/>
    <w:rsid w:val="006025A2"/>
    <w:rsid w:val="00602E75"/>
    <w:rsid w:val="0060353C"/>
    <w:rsid w:val="00603C41"/>
    <w:rsid w:val="006068C4"/>
    <w:rsid w:val="00606A8D"/>
    <w:rsid w:val="00607EAD"/>
    <w:rsid w:val="00611896"/>
    <w:rsid w:val="0061233B"/>
    <w:rsid w:val="0061409B"/>
    <w:rsid w:val="00614A34"/>
    <w:rsid w:val="00614F80"/>
    <w:rsid w:val="0061530B"/>
    <w:rsid w:val="00615347"/>
    <w:rsid w:val="0061566A"/>
    <w:rsid w:val="0061630C"/>
    <w:rsid w:val="00616870"/>
    <w:rsid w:val="00617CF4"/>
    <w:rsid w:val="00621BCF"/>
    <w:rsid w:val="00622663"/>
    <w:rsid w:val="00622873"/>
    <w:rsid w:val="00624868"/>
    <w:rsid w:val="00626123"/>
    <w:rsid w:val="00626CEF"/>
    <w:rsid w:val="00630347"/>
    <w:rsid w:val="0063052E"/>
    <w:rsid w:val="00630912"/>
    <w:rsid w:val="00632C9F"/>
    <w:rsid w:val="00633BA3"/>
    <w:rsid w:val="00633EB8"/>
    <w:rsid w:val="00635D01"/>
    <w:rsid w:val="00635D70"/>
    <w:rsid w:val="00636159"/>
    <w:rsid w:val="00636E54"/>
    <w:rsid w:val="0063706C"/>
    <w:rsid w:val="006370E9"/>
    <w:rsid w:val="00641414"/>
    <w:rsid w:val="006416EC"/>
    <w:rsid w:val="006435F8"/>
    <w:rsid w:val="00643B31"/>
    <w:rsid w:val="00644740"/>
    <w:rsid w:val="00644CF6"/>
    <w:rsid w:val="00645C11"/>
    <w:rsid w:val="00645EDA"/>
    <w:rsid w:val="0064645D"/>
    <w:rsid w:val="00647670"/>
    <w:rsid w:val="00650C28"/>
    <w:rsid w:val="00650F54"/>
    <w:rsid w:val="0065269D"/>
    <w:rsid w:val="006546D8"/>
    <w:rsid w:val="00654E5B"/>
    <w:rsid w:val="00655033"/>
    <w:rsid w:val="00656077"/>
    <w:rsid w:val="00656847"/>
    <w:rsid w:val="00656DDE"/>
    <w:rsid w:val="00657576"/>
    <w:rsid w:val="00657898"/>
    <w:rsid w:val="006603B3"/>
    <w:rsid w:val="00660B43"/>
    <w:rsid w:val="00660FF1"/>
    <w:rsid w:val="006611AA"/>
    <w:rsid w:val="006629F7"/>
    <w:rsid w:val="00662CB8"/>
    <w:rsid w:val="00663217"/>
    <w:rsid w:val="0066399B"/>
    <w:rsid w:val="00663C64"/>
    <w:rsid w:val="00663E6A"/>
    <w:rsid w:val="00663EE1"/>
    <w:rsid w:val="006647DE"/>
    <w:rsid w:val="006659CB"/>
    <w:rsid w:val="00666043"/>
    <w:rsid w:val="00666E42"/>
    <w:rsid w:val="00667DE7"/>
    <w:rsid w:val="00671118"/>
    <w:rsid w:val="00672420"/>
    <w:rsid w:val="006725A2"/>
    <w:rsid w:val="00673401"/>
    <w:rsid w:val="00673408"/>
    <w:rsid w:val="00673DB2"/>
    <w:rsid w:val="006743B1"/>
    <w:rsid w:val="00674522"/>
    <w:rsid w:val="006747BD"/>
    <w:rsid w:val="006749AF"/>
    <w:rsid w:val="00675068"/>
    <w:rsid w:val="006752A1"/>
    <w:rsid w:val="006758C8"/>
    <w:rsid w:val="00677562"/>
    <w:rsid w:val="00677979"/>
    <w:rsid w:val="00681F93"/>
    <w:rsid w:val="006826CC"/>
    <w:rsid w:val="00682EA0"/>
    <w:rsid w:val="00683040"/>
    <w:rsid w:val="0068369E"/>
    <w:rsid w:val="006839C4"/>
    <w:rsid w:val="006847BB"/>
    <w:rsid w:val="006867F0"/>
    <w:rsid w:val="0068712F"/>
    <w:rsid w:val="00690F71"/>
    <w:rsid w:val="00691094"/>
    <w:rsid w:val="006913A2"/>
    <w:rsid w:val="006913C0"/>
    <w:rsid w:val="0069312F"/>
    <w:rsid w:val="006954E2"/>
    <w:rsid w:val="00695E2E"/>
    <w:rsid w:val="0069603A"/>
    <w:rsid w:val="006966E9"/>
    <w:rsid w:val="00697802"/>
    <w:rsid w:val="00697ABF"/>
    <w:rsid w:val="006A1D67"/>
    <w:rsid w:val="006A34FB"/>
    <w:rsid w:val="006A3986"/>
    <w:rsid w:val="006A39A8"/>
    <w:rsid w:val="006A43FC"/>
    <w:rsid w:val="006A447C"/>
    <w:rsid w:val="006A4D1A"/>
    <w:rsid w:val="006A7BBC"/>
    <w:rsid w:val="006B0D23"/>
    <w:rsid w:val="006B1275"/>
    <w:rsid w:val="006B1AB2"/>
    <w:rsid w:val="006B1C9E"/>
    <w:rsid w:val="006B1EFA"/>
    <w:rsid w:val="006B2158"/>
    <w:rsid w:val="006B2CCC"/>
    <w:rsid w:val="006B32FF"/>
    <w:rsid w:val="006B4B15"/>
    <w:rsid w:val="006B71C3"/>
    <w:rsid w:val="006B75AC"/>
    <w:rsid w:val="006B79F3"/>
    <w:rsid w:val="006B7FBA"/>
    <w:rsid w:val="006C0033"/>
    <w:rsid w:val="006C02D1"/>
    <w:rsid w:val="006C1ADF"/>
    <w:rsid w:val="006C1EED"/>
    <w:rsid w:val="006C21D0"/>
    <w:rsid w:val="006C22E5"/>
    <w:rsid w:val="006C51BC"/>
    <w:rsid w:val="006C6532"/>
    <w:rsid w:val="006C653E"/>
    <w:rsid w:val="006C65D8"/>
    <w:rsid w:val="006C6AB2"/>
    <w:rsid w:val="006D0061"/>
    <w:rsid w:val="006D0488"/>
    <w:rsid w:val="006D231A"/>
    <w:rsid w:val="006D24B0"/>
    <w:rsid w:val="006D371C"/>
    <w:rsid w:val="006D4966"/>
    <w:rsid w:val="006D4C07"/>
    <w:rsid w:val="006D542C"/>
    <w:rsid w:val="006D553E"/>
    <w:rsid w:val="006D5D93"/>
    <w:rsid w:val="006D746C"/>
    <w:rsid w:val="006D7A89"/>
    <w:rsid w:val="006D7FC8"/>
    <w:rsid w:val="006E0539"/>
    <w:rsid w:val="006E162F"/>
    <w:rsid w:val="006E21A0"/>
    <w:rsid w:val="006E227F"/>
    <w:rsid w:val="006E24F6"/>
    <w:rsid w:val="006E2CED"/>
    <w:rsid w:val="006E307E"/>
    <w:rsid w:val="006E49BF"/>
    <w:rsid w:val="006E4AE1"/>
    <w:rsid w:val="006E4C45"/>
    <w:rsid w:val="006E55D0"/>
    <w:rsid w:val="006E5EB9"/>
    <w:rsid w:val="006E6F46"/>
    <w:rsid w:val="006F0613"/>
    <w:rsid w:val="006F16CF"/>
    <w:rsid w:val="006F29B0"/>
    <w:rsid w:val="006F2A72"/>
    <w:rsid w:val="006F2E53"/>
    <w:rsid w:val="006F30F1"/>
    <w:rsid w:val="006F3849"/>
    <w:rsid w:val="006F3E3E"/>
    <w:rsid w:val="006F56F3"/>
    <w:rsid w:val="006F5E6A"/>
    <w:rsid w:val="006F7F12"/>
    <w:rsid w:val="00700ACE"/>
    <w:rsid w:val="0070158F"/>
    <w:rsid w:val="00702C28"/>
    <w:rsid w:val="007033BD"/>
    <w:rsid w:val="00705713"/>
    <w:rsid w:val="00705B7C"/>
    <w:rsid w:val="007064A8"/>
    <w:rsid w:val="007070BC"/>
    <w:rsid w:val="00707CD2"/>
    <w:rsid w:val="007119B8"/>
    <w:rsid w:val="00712141"/>
    <w:rsid w:val="007122C4"/>
    <w:rsid w:val="00712D13"/>
    <w:rsid w:val="00714287"/>
    <w:rsid w:val="00714E64"/>
    <w:rsid w:val="00715BD6"/>
    <w:rsid w:val="0071698B"/>
    <w:rsid w:val="00717DD7"/>
    <w:rsid w:val="00720CCC"/>
    <w:rsid w:val="00720FFF"/>
    <w:rsid w:val="007211D8"/>
    <w:rsid w:val="00721A07"/>
    <w:rsid w:val="00722086"/>
    <w:rsid w:val="00723F75"/>
    <w:rsid w:val="007246E0"/>
    <w:rsid w:val="00725569"/>
    <w:rsid w:val="007269E1"/>
    <w:rsid w:val="00726AD9"/>
    <w:rsid w:val="007274DA"/>
    <w:rsid w:val="00727847"/>
    <w:rsid w:val="00730BBA"/>
    <w:rsid w:val="00731D1F"/>
    <w:rsid w:val="007321ED"/>
    <w:rsid w:val="007323EE"/>
    <w:rsid w:val="0073240A"/>
    <w:rsid w:val="00732A63"/>
    <w:rsid w:val="00733DA6"/>
    <w:rsid w:val="007344F3"/>
    <w:rsid w:val="00734ED4"/>
    <w:rsid w:val="00736328"/>
    <w:rsid w:val="00736612"/>
    <w:rsid w:val="00736904"/>
    <w:rsid w:val="007374FD"/>
    <w:rsid w:val="0074146A"/>
    <w:rsid w:val="00741C44"/>
    <w:rsid w:val="007423C9"/>
    <w:rsid w:val="007429F3"/>
    <w:rsid w:val="00743A70"/>
    <w:rsid w:val="0074665F"/>
    <w:rsid w:val="00746A72"/>
    <w:rsid w:val="00747F32"/>
    <w:rsid w:val="00747FF6"/>
    <w:rsid w:val="007512DA"/>
    <w:rsid w:val="00751602"/>
    <w:rsid w:val="00756209"/>
    <w:rsid w:val="00756E8A"/>
    <w:rsid w:val="00757DE9"/>
    <w:rsid w:val="00761873"/>
    <w:rsid w:val="0076291B"/>
    <w:rsid w:val="00762A09"/>
    <w:rsid w:val="007633DF"/>
    <w:rsid w:val="00764EBE"/>
    <w:rsid w:val="00764F1B"/>
    <w:rsid w:val="00765323"/>
    <w:rsid w:val="007661D0"/>
    <w:rsid w:val="00767566"/>
    <w:rsid w:val="00770065"/>
    <w:rsid w:val="00770B0C"/>
    <w:rsid w:val="00770C87"/>
    <w:rsid w:val="007713DB"/>
    <w:rsid w:val="00771884"/>
    <w:rsid w:val="00771A89"/>
    <w:rsid w:val="00771C07"/>
    <w:rsid w:val="00772921"/>
    <w:rsid w:val="0077298C"/>
    <w:rsid w:val="00774420"/>
    <w:rsid w:val="007744A2"/>
    <w:rsid w:val="00774F2A"/>
    <w:rsid w:val="00775CEC"/>
    <w:rsid w:val="007761E6"/>
    <w:rsid w:val="007764B7"/>
    <w:rsid w:val="00776F60"/>
    <w:rsid w:val="00777B34"/>
    <w:rsid w:val="007805B8"/>
    <w:rsid w:val="00780B99"/>
    <w:rsid w:val="007812A2"/>
    <w:rsid w:val="007816B9"/>
    <w:rsid w:val="00781AA0"/>
    <w:rsid w:val="00782EB5"/>
    <w:rsid w:val="00783BC4"/>
    <w:rsid w:val="00783D39"/>
    <w:rsid w:val="00783FA3"/>
    <w:rsid w:val="007846E4"/>
    <w:rsid w:val="00784DEA"/>
    <w:rsid w:val="00785685"/>
    <w:rsid w:val="0078594D"/>
    <w:rsid w:val="007867A3"/>
    <w:rsid w:val="00787787"/>
    <w:rsid w:val="00787C67"/>
    <w:rsid w:val="00787F4B"/>
    <w:rsid w:val="00791BA8"/>
    <w:rsid w:val="007939EF"/>
    <w:rsid w:val="00793ED0"/>
    <w:rsid w:val="0079574A"/>
    <w:rsid w:val="00796B6A"/>
    <w:rsid w:val="00797F37"/>
    <w:rsid w:val="007A00F0"/>
    <w:rsid w:val="007A05B1"/>
    <w:rsid w:val="007A0622"/>
    <w:rsid w:val="007A071A"/>
    <w:rsid w:val="007A1793"/>
    <w:rsid w:val="007A1A7E"/>
    <w:rsid w:val="007A228E"/>
    <w:rsid w:val="007A2CB6"/>
    <w:rsid w:val="007A501F"/>
    <w:rsid w:val="007A7240"/>
    <w:rsid w:val="007A73C1"/>
    <w:rsid w:val="007B030A"/>
    <w:rsid w:val="007B1E4F"/>
    <w:rsid w:val="007B2AD9"/>
    <w:rsid w:val="007B3F1E"/>
    <w:rsid w:val="007B5A0F"/>
    <w:rsid w:val="007B670E"/>
    <w:rsid w:val="007B6779"/>
    <w:rsid w:val="007B6937"/>
    <w:rsid w:val="007C067A"/>
    <w:rsid w:val="007C0E27"/>
    <w:rsid w:val="007C1BD8"/>
    <w:rsid w:val="007C1E87"/>
    <w:rsid w:val="007C28E2"/>
    <w:rsid w:val="007C30BC"/>
    <w:rsid w:val="007C59B1"/>
    <w:rsid w:val="007C61EC"/>
    <w:rsid w:val="007C67A6"/>
    <w:rsid w:val="007C7C22"/>
    <w:rsid w:val="007C7C78"/>
    <w:rsid w:val="007D0432"/>
    <w:rsid w:val="007D0D4B"/>
    <w:rsid w:val="007D155D"/>
    <w:rsid w:val="007D280E"/>
    <w:rsid w:val="007D3A6C"/>
    <w:rsid w:val="007D588F"/>
    <w:rsid w:val="007D5AE6"/>
    <w:rsid w:val="007D6462"/>
    <w:rsid w:val="007D67B9"/>
    <w:rsid w:val="007D6E88"/>
    <w:rsid w:val="007D7605"/>
    <w:rsid w:val="007D7FFC"/>
    <w:rsid w:val="007E0FBE"/>
    <w:rsid w:val="007E3534"/>
    <w:rsid w:val="007E43A2"/>
    <w:rsid w:val="007E4755"/>
    <w:rsid w:val="007E4852"/>
    <w:rsid w:val="007E5695"/>
    <w:rsid w:val="007E61F4"/>
    <w:rsid w:val="007E6A54"/>
    <w:rsid w:val="007F07EF"/>
    <w:rsid w:val="007F2904"/>
    <w:rsid w:val="007F2958"/>
    <w:rsid w:val="007F4395"/>
    <w:rsid w:val="007F4664"/>
    <w:rsid w:val="007F4AF8"/>
    <w:rsid w:val="007F5476"/>
    <w:rsid w:val="007F562C"/>
    <w:rsid w:val="007F57AB"/>
    <w:rsid w:val="007F5FBA"/>
    <w:rsid w:val="007F66FE"/>
    <w:rsid w:val="007F78B5"/>
    <w:rsid w:val="007F78F6"/>
    <w:rsid w:val="00801CDC"/>
    <w:rsid w:val="008034D7"/>
    <w:rsid w:val="00804404"/>
    <w:rsid w:val="00804407"/>
    <w:rsid w:val="00804B86"/>
    <w:rsid w:val="0080556F"/>
    <w:rsid w:val="00805FBB"/>
    <w:rsid w:val="0080606C"/>
    <w:rsid w:val="008061DD"/>
    <w:rsid w:val="008067D6"/>
    <w:rsid w:val="00807680"/>
    <w:rsid w:val="00807A41"/>
    <w:rsid w:val="00807FF3"/>
    <w:rsid w:val="00811BED"/>
    <w:rsid w:val="00811FA6"/>
    <w:rsid w:val="00814606"/>
    <w:rsid w:val="008146C9"/>
    <w:rsid w:val="0081479F"/>
    <w:rsid w:val="0081594A"/>
    <w:rsid w:val="00816BD4"/>
    <w:rsid w:val="008219E3"/>
    <w:rsid w:val="00822293"/>
    <w:rsid w:val="00822961"/>
    <w:rsid w:val="00822FB0"/>
    <w:rsid w:val="00824A1A"/>
    <w:rsid w:val="00824AFF"/>
    <w:rsid w:val="00824CAC"/>
    <w:rsid w:val="00824D4B"/>
    <w:rsid w:val="00824D5B"/>
    <w:rsid w:val="00825FC6"/>
    <w:rsid w:val="008276C3"/>
    <w:rsid w:val="00827C37"/>
    <w:rsid w:val="00830956"/>
    <w:rsid w:val="00830AA0"/>
    <w:rsid w:val="00831CEF"/>
    <w:rsid w:val="00832DF0"/>
    <w:rsid w:val="00833813"/>
    <w:rsid w:val="00833BE8"/>
    <w:rsid w:val="00833F8E"/>
    <w:rsid w:val="0083671D"/>
    <w:rsid w:val="00836B35"/>
    <w:rsid w:val="008408B3"/>
    <w:rsid w:val="00840A0B"/>
    <w:rsid w:val="0084235E"/>
    <w:rsid w:val="008429E4"/>
    <w:rsid w:val="008434BC"/>
    <w:rsid w:val="00843B8B"/>
    <w:rsid w:val="008441F9"/>
    <w:rsid w:val="00846379"/>
    <w:rsid w:val="0084667E"/>
    <w:rsid w:val="008500D7"/>
    <w:rsid w:val="008508A3"/>
    <w:rsid w:val="008516E2"/>
    <w:rsid w:val="00852BBB"/>
    <w:rsid w:val="008537E2"/>
    <w:rsid w:val="00854390"/>
    <w:rsid w:val="0085595B"/>
    <w:rsid w:val="00856BAA"/>
    <w:rsid w:val="0085771E"/>
    <w:rsid w:val="008578FC"/>
    <w:rsid w:val="00860246"/>
    <w:rsid w:val="008619E1"/>
    <w:rsid w:val="00862049"/>
    <w:rsid w:val="00862547"/>
    <w:rsid w:val="00862E7F"/>
    <w:rsid w:val="00863B70"/>
    <w:rsid w:val="00864931"/>
    <w:rsid w:val="00864DC8"/>
    <w:rsid w:val="008657B4"/>
    <w:rsid w:val="00866265"/>
    <w:rsid w:val="00867133"/>
    <w:rsid w:val="008678A8"/>
    <w:rsid w:val="00867B51"/>
    <w:rsid w:val="00870BF3"/>
    <w:rsid w:val="008710D5"/>
    <w:rsid w:val="00873CEB"/>
    <w:rsid w:val="0087477D"/>
    <w:rsid w:val="008749FB"/>
    <w:rsid w:val="00874CB1"/>
    <w:rsid w:val="0087500E"/>
    <w:rsid w:val="00875BDF"/>
    <w:rsid w:val="0088135D"/>
    <w:rsid w:val="008820A3"/>
    <w:rsid w:val="0088228C"/>
    <w:rsid w:val="00882F11"/>
    <w:rsid w:val="008832F4"/>
    <w:rsid w:val="00884BE8"/>
    <w:rsid w:val="0088799F"/>
    <w:rsid w:val="00887A60"/>
    <w:rsid w:val="0089110A"/>
    <w:rsid w:val="008913F0"/>
    <w:rsid w:val="008914F0"/>
    <w:rsid w:val="0089301D"/>
    <w:rsid w:val="008934C6"/>
    <w:rsid w:val="008956A5"/>
    <w:rsid w:val="00895CD3"/>
    <w:rsid w:val="008969E1"/>
    <w:rsid w:val="008975B4"/>
    <w:rsid w:val="008975C0"/>
    <w:rsid w:val="0089785B"/>
    <w:rsid w:val="008A1985"/>
    <w:rsid w:val="008A1F8D"/>
    <w:rsid w:val="008A21F6"/>
    <w:rsid w:val="008A35AB"/>
    <w:rsid w:val="008A49B6"/>
    <w:rsid w:val="008A4F4B"/>
    <w:rsid w:val="008A569C"/>
    <w:rsid w:val="008A6356"/>
    <w:rsid w:val="008A7322"/>
    <w:rsid w:val="008A7978"/>
    <w:rsid w:val="008B070D"/>
    <w:rsid w:val="008B0C14"/>
    <w:rsid w:val="008B0CE7"/>
    <w:rsid w:val="008B3B11"/>
    <w:rsid w:val="008B480B"/>
    <w:rsid w:val="008B4E6C"/>
    <w:rsid w:val="008B5451"/>
    <w:rsid w:val="008B5479"/>
    <w:rsid w:val="008B58A7"/>
    <w:rsid w:val="008B6282"/>
    <w:rsid w:val="008B6871"/>
    <w:rsid w:val="008B6BF5"/>
    <w:rsid w:val="008B75A0"/>
    <w:rsid w:val="008C035B"/>
    <w:rsid w:val="008C0B0B"/>
    <w:rsid w:val="008C0D76"/>
    <w:rsid w:val="008C1239"/>
    <w:rsid w:val="008C1B8E"/>
    <w:rsid w:val="008C250F"/>
    <w:rsid w:val="008C2583"/>
    <w:rsid w:val="008C2CCC"/>
    <w:rsid w:val="008C3B4E"/>
    <w:rsid w:val="008C40CE"/>
    <w:rsid w:val="008C47E1"/>
    <w:rsid w:val="008C4B2D"/>
    <w:rsid w:val="008C4DA4"/>
    <w:rsid w:val="008C6B21"/>
    <w:rsid w:val="008C7D7C"/>
    <w:rsid w:val="008D0291"/>
    <w:rsid w:val="008D0C8C"/>
    <w:rsid w:val="008D0CCF"/>
    <w:rsid w:val="008D16E0"/>
    <w:rsid w:val="008D425B"/>
    <w:rsid w:val="008D5EE9"/>
    <w:rsid w:val="008D771D"/>
    <w:rsid w:val="008E017E"/>
    <w:rsid w:val="008E0812"/>
    <w:rsid w:val="008E21A9"/>
    <w:rsid w:val="008E3096"/>
    <w:rsid w:val="008E4842"/>
    <w:rsid w:val="008E4BB0"/>
    <w:rsid w:val="008E52FF"/>
    <w:rsid w:val="008E59D9"/>
    <w:rsid w:val="008E6A95"/>
    <w:rsid w:val="008E72DD"/>
    <w:rsid w:val="008E741D"/>
    <w:rsid w:val="008E7E7F"/>
    <w:rsid w:val="008F0026"/>
    <w:rsid w:val="008F052D"/>
    <w:rsid w:val="008F0BB9"/>
    <w:rsid w:val="008F160E"/>
    <w:rsid w:val="008F24AE"/>
    <w:rsid w:val="008F2549"/>
    <w:rsid w:val="008F25AB"/>
    <w:rsid w:val="008F4234"/>
    <w:rsid w:val="008F528C"/>
    <w:rsid w:val="008F54BA"/>
    <w:rsid w:val="008F59F3"/>
    <w:rsid w:val="008F6178"/>
    <w:rsid w:val="008F640A"/>
    <w:rsid w:val="008F6BE0"/>
    <w:rsid w:val="008F7F87"/>
    <w:rsid w:val="00900791"/>
    <w:rsid w:val="00901A8A"/>
    <w:rsid w:val="00902644"/>
    <w:rsid w:val="00902F9C"/>
    <w:rsid w:val="0090327D"/>
    <w:rsid w:val="00903280"/>
    <w:rsid w:val="00903973"/>
    <w:rsid w:val="009044CA"/>
    <w:rsid w:val="009044F2"/>
    <w:rsid w:val="009046DF"/>
    <w:rsid w:val="009060AB"/>
    <w:rsid w:val="0090653F"/>
    <w:rsid w:val="00910E70"/>
    <w:rsid w:val="00911193"/>
    <w:rsid w:val="00912BF1"/>
    <w:rsid w:val="00913710"/>
    <w:rsid w:val="00913BC7"/>
    <w:rsid w:val="0091403F"/>
    <w:rsid w:val="00914F7E"/>
    <w:rsid w:val="00915E2A"/>
    <w:rsid w:val="009205CD"/>
    <w:rsid w:val="009211E8"/>
    <w:rsid w:val="00921F70"/>
    <w:rsid w:val="00921F8A"/>
    <w:rsid w:val="00922189"/>
    <w:rsid w:val="009238D0"/>
    <w:rsid w:val="00923A97"/>
    <w:rsid w:val="009246C8"/>
    <w:rsid w:val="0092562B"/>
    <w:rsid w:val="00925B1D"/>
    <w:rsid w:val="00925CA8"/>
    <w:rsid w:val="009270D5"/>
    <w:rsid w:val="009272A1"/>
    <w:rsid w:val="00927D50"/>
    <w:rsid w:val="00927F12"/>
    <w:rsid w:val="00930A02"/>
    <w:rsid w:val="00930A0B"/>
    <w:rsid w:val="009318AA"/>
    <w:rsid w:val="00931CC4"/>
    <w:rsid w:val="009325DE"/>
    <w:rsid w:val="009331D3"/>
    <w:rsid w:val="00934231"/>
    <w:rsid w:val="0093428A"/>
    <w:rsid w:val="00934A84"/>
    <w:rsid w:val="0093536B"/>
    <w:rsid w:val="00935422"/>
    <w:rsid w:val="00935483"/>
    <w:rsid w:val="00935D35"/>
    <w:rsid w:val="009369FB"/>
    <w:rsid w:val="00937267"/>
    <w:rsid w:val="0093726F"/>
    <w:rsid w:val="00937477"/>
    <w:rsid w:val="00937877"/>
    <w:rsid w:val="00937CF9"/>
    <w:rsid w:val="009418C0"/>
    <w:rsid w:val="00941B75"/>
    <w:rsid w:val="00942773"/>
    <w:rsid w:val="00942F21"/>
    <w:rsid w:val="00945302"/>
    <w:rsid w:val="00945345"/>
    <w:rsid w:val="009467B7"/>
    <w:rsid w:val="0094791A"/>
    <w:rsid w:val="009479A6"/>
    <w:rsid w:val="00947F76"/>
    <w:rsid w:val="0095335D"/>
    <w:rsid w:val="00954087"/>
    <w:rsid w:val="0095426C"/>
    <w:rsid w:val="00954A03"/>
    <w:rsid w:val="00955553"/>
    <w:rsid w:val="00955A37"/>
    <w:rsid w:val="00955D92"/>
    <w:rsid w:val="00956D8E"/>
    <w:rsid w:val="009618A1"/>
    <w:rsid w:val="0096199D"/>
    <w:rsid w:val="00961ACE"/>
    <w:rsid w:val="009632F6"/>
    <w:rsid w:val="009634F5"/>
    <w:rsid w:val="00963940"/>
    <w:rsid w:val="00965046"/>
    <w:rsid w:val="00965099"/>
    <w:rsid w:val="009655DC"/>
    <w:rsid w:val="00965CF4"/>
    <w:rsid w:val="00965EBC"/>
    <w:rsid w:val="009666E1"/>
    <w:rsid w:val="00966D3C"/>
    <w:rsid w:val="0097384F"/>
    <w:rsid w:val="00974E43"/>
    <w:rsid w:val="009757EC"/>
    <w:rsid w:val="00976562"/>
    <w:rsid w:val="0097671C"/>
    <w:rsid w:val="009777D0"/>
    <w:rsid w:val="00980832"/>
    <w:rsid w:val="00981659"/>
    <w:rsid w:val="00981ED3"/>
    <w:rsid w:val="0098269C"/>
    <w:rsid w:val="00982A9B"/>
    <w:rsid w:val="00983432"/>
    <w:rsid w:val="00983788"/>
    <w:rsid w:val="00984771"/>
    <w:rsid w:val="00985E03"/>
    <w:rsid w:val="00987F05"/>
    <w:rsid w:val="009923CF"/>
    <w:rsid w:val="00993428"/>
    <w:rsid w:val="00993726"/>
    <w:rsid w:val="0099493C"/>
    <w:rsid w:val="00994EE4"/>
    <w:rsid w:val="00995C79"/>
    <w:rsid w:val="009A088F"/>
    <w:rsid w:val="009A23FA"/>
    <w:rsid w:val="009A2559"/>
    <w:rsid w:val="009A2B68"/>
    <w:rsid w:val="009A411F"/>
    <w:rsid w:val="009A4CF2"/>
    <w:rsid w:val="009A5861"/>
    <w:rsid w:val="009A5FF4"/>
    <w:rsid w:val="009A6ED3"/>
    <w:rsid w:val="009A7AD1"/>
    <w:rsid w:val="009B3A5E"/>
    <w:rsid w:val="009B3C2D"/>
    <w:rsid w:val="009B49F8"/>
    <w:rsid w:val="009B6359"/>
    <w:rsid w:val="009B6CE4"/>
    <w:rsid w:val="009B6F0C"/>
    <w:rsid w:val="009C0424"/>
    <w:rsid w:val="009C0A38"/>
    <w:rsid w:val="009C1C6E"/>
    <w:rsid w:val="009C1FB9"/>
    <w:rsid w:val="009C2392"/>
    <w:rsid w:val="009C315C"/>
    <w:rsid w:val="009C38C9"/>
    <w:rsid w:val="009C4F9B"/>
    <w:rsid w:val="009C5394"/>
    <w:rsid w:val="009C57F5"/>
    <w:rsid w:val="009C5C59"/>
    <w:rsid w:val="009C5CDB"/>
    <w:rsid w:val="009C65F1"/>
    <w:rsid w:val="009C75BA"/>
    <w:rsid w:val="009D11AB"/>
    <w:rsid w:val="009D14F0"/>
    <w:rsid w:val="009D40A7"/>
    <w:rsid w:val="009D4416"/>
    <w:rsid w:val="009D45F6"/>
    <w:rsid w:val="009D48A7"/>
    <w:rsid w:val="009D5C21"/>
    <w:rsid w:val="009D5D6A"/>
    <w:rsid w:val="009D6A26"/>
    <w:rsid w:val="009E04B4"/>
    <w:rsid w:val="009E1320"/>
    <w:rsid w:val="009E1EA1"/>
    <w:rsid w:val="009E2A74"/>
    <w:rsid w:val="009E2F93"/>
    <w:rsid w:val="009E4785"/>
    <w:rsid w:val="009E5827"/>
    <w:rsid w:val="009E615C"/>
    <w:rsid w:val="009E762D"/>
    <w:rsid w:val="009F23EA"/>
    <w:rsid w:val="009F2C90"/>
    <w:rsid w:val="009F2CB6"/>
    <w:rsid w:val="009F4A71"/>
    <w:rsid w:val="009F698C"/>
    <w:rsid w:val="009F71BF"/>
    <w:rsid w:val="00A003B5"/>
    <w:rsid w:val="00A00D15"/>
    <w:rsid w:val="00A00D99"/>
    <w:rsid w:val="00A00F2E"/>
    <w:rsid w:val="00A01522"/>
    <w:rsid w:val="00A01839"/>
    <w:rsid w:val="00A01D11"/>
    <w:rsid w:val="00A02572"/>
    <w:rsid w:val="00A0264F"/>
    <w:rsid w:val="00A04121"/>
    <w:rsid w:val="00A047A3"/>
    <w:rsid w:val="00A056EA"/>
    <w:rsid w:val="00A05785"/>
    <w:rsid w:val="00A05AB8"/>
    <w:rsid w:val="00A05D64"/>
    <w:rsid w:val="00A064C0"/>
    <w:rsid w:val="00A066FC"/>
    <w:rsid w:val="00A06A79"/>
    <w:rsid w:val="00A07009"/>
    <w:rsid w:val="00A0720E"/>
    <w:rsid w:val="00A076C4"/>
    <w:rsid w:val="00A10A49"/>
    <w:rsid w:val="00A1213B"/>
    <w:rsid w:val="00A12256"/>
    <w:rsid w:val="00A1288B"/>
    <w:rsid w:val="00A1395A"/>
    <w:rsid w:val="00A13FAE"/>
    <w:rsid w:val="00A14CD9"/>
    <w:rsid w:val="00A155D2"/>
    <w:rsid w:val="00A15750"/>
    <w:rsid w:val="00A15868"/>
    <w:rsid w:val="00A16A48"/>
    <w:rsid w:val="00A177A1"/>
    <w:rsid w:val="00A17FE0"/>
    <w:rsid w:val="00A2053D"/>
    <w:rsid w:val="00A2069B"/>
    <w:rsid w:val="00A209A8"/>
    <w:rsid w:val="00A221A6"/>
    <w:rsid w:val="00A224BC"/>
    <w:rsid w:val="00A229E9"/>
    <w:rsid w:val="00A24065"/>
    <w:rsid w:val="00A2428C"/>
    <w:rsid w:val="00A268F7"/>
    <w:rsid w:val="00A2761B"/>
    <w:rsid w:val="00A3059F"/>
    <w:rsid w:val="00A305A7"/>
    <w:rsid w:val="00A31C8C"/>
    <w:rsid w:val="00A32C82"/>
    <w:rsid w:val="00A32D85"/>
    <w:rsid w:val="00A342ED"/>
    <w:rsid w:val="00A35A8F"/>
    <w:rsid w:val="00A35D6F"/>
    <w:rsid w:val="00A36BA8"/>
    <w:rsid w:val="00A37752"/>
    <w:rsid w:val="00A37F1E"/>
    <w:rsid w:val="00A40AB3"/>
    <w:rsid w:val="00A41513"/>
    <w:rsid w:val="00A41C98"/>
    <w:rsid w:val="00A41E2A"/>
    <w:rsid w:val="00A41F79"/>
    <w:rsid w:val="00A436DD"/>
    <w:rsid w:val="00A43847"/>
    <w:rsid w:val="00A43B37"/>
    <w:rsid w:val="00A44304"/>
    <w:rsid w:val="00A44C3D"/>
    <w:rsid w:val="00A45A85"/>
    <w:rsid w:val="00A45C52"/>
    <w:rsid w:val="00A4648D"/>
    <w:rsid w:val="00A471B9"/>
    <w:rsid w:val="00A475A3"/>
    <w:rsid w:val="00A477A6"/>
    <w:rsid w:val="00A47810"/>
    <w:rsid w:val="00A50638"/>
    <w:rsid w:val="00A5108A"/>
    <w:rsid w:val="00A516FB"/>
    <w:rsid w:val="00A51CBA"/>
    <w:rsid w:val="00A526E0"/>
    <w:rsid w:val="00A52780"/>
    <w:rsid w:val="00A531C5"/>
    <w:rsid w:val="00A534E2"/>
    <w:rsid w:val="00A53724"/>
    <w:rsid w:val="00A54181"/>
    <w:rsid w:val="00A548D4"/>
    <w:rsid w:val="00A54E38"/>
    <w:rsid w:val="00A56218"/>
    <w:rsid w:val="00A57302"/>
    <w:rsid w:val="00A6007E"/>
    <w:rsid w:val="00A6053F"/>
    <w:rsid w:val="00A6057F"/>
    <w:rsid w:val="00A61565"/>
    <w:rsid w:val="00A61808"/>
    <w:rsid w:val="00A6188F"/>
    <w:rsid w:val="00A6226B"/>
    <w:rsid w:val="00A63ABE"/>
    <w:rsid w:val="00A6458D"/>
    <w:rsid w:val="00A65153"/>
    <w:rsid w:val="00A6635B"/>
    <w:rsid w:val="00A7123D"/>
    <w:rsid w:val="00A7230A"/>
    <w:rsid w:val="00A733CC"/>
    <w:rsid w:val="00A7353F"/>
    <w:rsid w:val="00A75963"/>
    <w:rsid w:val="00A76129"/>
    <w:rsid w:val="00A7658E"/>
    <w:rsid w:val="00A76C23"/>
    <w:rsid w:val="00A76E93"/>
    <w:rsid w:val="00A771C0"/>
    <w:rsid w:val="00A777D4"/>
    <w:rsid w:val="00A779D6"/>
    <w:rsid w:val="00A80523"/>
    <w:rsid w:val="00A80A41"/>
    <w:rsid w:val="00A82518"/>
    <w:rsid w:val="00A827BD"/>
    <w:rsid w:val="00A82FFD"/>
    <w:rsid w:val="00A8355E"/>
    <w:rsid w:val="00A839C7"/>
    <w:rsid w:val="00A84271"/>
    <w:rsid w:val="00A85B09"/>
    <w:rsid w:val="00A86394"/>
    <w:rsid w:val="00A87097"/>
    <w:rsid w:val="00A87A29"/>
    <w:rsid w:val="00A87EEC"/>
    <w:rsid w:val="00A90A52"/>
    <w:rsid w:val="00A92079"/>
    <w:rsid w:val="00A955F6"/>
    <w:rsid w:val="00A95B43"/>
    <w:rsid w:val="00A9601F"/>
    <w:rsid w:val="00A96D84"/>
    <w:rsid w:val="00A96DAA"/>
    <w:rsid w:val="00A9777B"/>
    <w:rsid w:val="00A97E77"/>
    <w:rsid w:val="00AA043E"/>
    <w:rsid w:val="00AA0447"/>
    <w:rsid w:val="00AA10A8"/>
    <w:rsid w:val="00AA2467"/>
    <w:rsid w:val="00AA4105"/>
    <w:rsid w:val="00AA47D3"/>
    <w:rsid w:val="00AA6274"/>
    <w:rsid w:val="00AA64A7"/>
    <w:rsid w:val="00AA660F"/>
    <w:rsid w:val="00AA67B0"/>
    <w:rsid w:val="00AA696C"/>
    <w:rsid w:val="00AA7327"/>
    <w:rsid w:val="00AB06B4"/>
    <w:rsid w:val="00AB06DB"/>
    <w:rsid w:val="00AB14FF"/>
    <w:rsid w:val="00AB1607"/>
    <w:rsid w:val="00AB1910"/>
    <w:rsid w:val="00AB2D17"/>
    <w:rsid w:val="00AB33DA"/>
    <w:rsid w:val="00AB3D87"/>
    <w:rsid w:val="00AB595C"/>
    <w:rsid w:val="00AC0E91"/>
    <w:rsid w:val="00AC1971"/>
    <w:rsid w:val="00AC1CE8"/>
    <w:rsid w:val="00AC1F4E"/>
    <w:rsid w:val="00AC3075"/>
    <w:rsid w:val="00AC3184"/>
    <w:rsid w:val="00AC330F"/>
    <w:rsid w:val="00AC39D4"/>
    <w:rsid w:val="00AC4685"/>
    <w:rsid w:val="00AC5DD8"/>
    <w:rsid w:val="00AC733B"/>
    <w:rsid w:val="00AC73EA"/>
    <w:rsid w:val="00AC77E2"/>
    <w:rsid w:val="00AC7BDB"/>
    <w:rsid w:val="00AD042D"/>
    <w:rsid w:val="00AD045B"/>
    <w:rsid w:val="00AD18D1"/>
    <w:rsid w:val="00AD24C6"/>
    <w:rsid w:val="00AD2C74"/>
    <w:rsid w:val="00AD32D4"/>
    <w:rsid w:val="00AD3AD0"/>
    <w:rsid w:val="00AD3C68"/>
    <w:rsid w:val="00AD3D5F"/>
    <w:rsid w:val="00AD4435"/>
    <w:rsid w:val="00AD44AD"/>
    <w:rsid w:val="00AD53EF"/>
    <w:rsid w:val="00AD552F"/>
    <w:rsid w:val="00AD5DF4"/>
    <w:rsid w:val="00AD683E"/>
    <w:rsid w:val="00AD6A9C"/>
    <w:rsid w:val="00AE027D"/>
    <w:rsid w:val="00AE16FD"/>
    <w:rsid w:val="00AE2848"/>
    <w:rsid w:val="00AE3BD4"/>
    <w:rsid w:val="00AE3D66"/>
    <w:rsid w:val="00AE4BB2"/>
    <w:rsid w:val="00AE4C84"/>
    <w:rsid w:val="00AE6069"/>
    <w:rsid w:val="00AE699E"/>
    <w:rsid w:val="00AE79AB"/>
    <w:rsid w:val="00AE7B88"/>
    <w:rsid w:val="00AE7D23"/>
    <w:rsid w:val="00AF001C"/>
    <w:rsid w:val="00AF14D7"/>
    <w:rsid w:val="00AF2304"/>
    <w:rsid w:val="00AF5877"/>
    <w:rsid w:val="00AF5BF8"/>
    <w:rsid w:val="00AF5D5A"/>
    <w:rsid w:val="00AF6874"/>
    <w:rsid w:val="00B007D8"/>
    <w:rsid w:val="00B00A20"/>
    <w:rsid w:val="00B00EEC"/>
    <w:rsid w:val="00B012B7"/>
    <w:rsid w:val="00B0146A"/>
    <w:rsid w:val="00B0199A"/>
    <w:rsid w:val="00B0396B"/>
    <w:rsid w:val="00B048A9"/>
    <w:rsid w:val="00B05008"/>
    <w:rsid w:val="00B0505C"/>
    <w:rsid w:val="00B05933"/>
    <w:rsid w:val="00B05D23"/>
    <w:rsid w:val="00B0607A"/>
    <w:rsid w:val="00B06B33"/>
    <w:rsid w:val="00B10250"/>
    <w:rsid w:val="00B10CAE"/>
    <w:rsid w:val="00B11BDA"/>
    <w:rsid w:val="00B11FC1"/>
    <w:rsid w:val="00B13EA3"/>
    <w:rsid w:val="00B1441F"/>
    <w:rsid w:val="00B159EA"/>
    <w:rsid w:val="00B165BC"/>
    <w:rsid w:val="00B168B8"/>
    <w:rsid w:val="00B16983"/>
    <w:rsid w:val="00B16EB4"/>
    <w:rsid w:val="00B17C94"/>
    <w:rsid w:val="00B2041E"/>
    <w:rsid w:val="00B20613"/>
    <w:rsid w:val="00B20C46"/>
    <w:rsid w:val="00B2222B"/>
    <w:rsid w:val="00B225C7"/>
    <w:rsid w:val="00B22A18"/>
    <w:rsid w:val="00B22C6E"/>
    <w:rsid w:val="00B245E5"/>
    <w:rsid w:val="00B25EEB"/>
    <w:rsid w:val="00B2621B"/>
    <w:rsid w:val="00B2695A"/>
    <w:rsid w:val="00B27105"/>
    <w:rsid w:val="00B303D4"/>
    <w:rsid w:val="00B31A9D"/>
    <w:rsid w:val="00B32A53"/>
    <w:rsid w:val="00B32C09"/>
    <w:rsid w:val="00B32EF4"/>
    <w:rsid w:val="00B331FE"/>
    <w:rsid w:val="00B3362C"/>
    <w:rsid w:val="00B33F7B"/>
    <w:rsid w:val="00B342F5"/>
    <w:rsid w:val="00B362E8"/>
    <w:rsid w:val="00B3643E"/>
    <w:rsid w:val="00B36AE2"/>
    <w:rsid w:val="00B37545"/>
    <w:rsid w:val="00B40A2F"/>
    <w:rsid w:val="00B40DF5"/>
    <w:rsid w:val="00B419C5"/>
    <w:rsid w:val="00B420D1"/>
    <w:rsid w:val="00B42452"/>
    <w:rsid w:val="00B427EB"/>
    <w:rsid w:val="00B42CA3"/>
    <w:rsid w:val="00B444B9"/>
    <w:rsid w:val="00B468B3"/>
    <w:rsid w:val="00B469D8"/>
    <w:rsid w:val="00B478F0"/>
    <w:rsid w:val="00B5147C"/>
    <w:rsid w:val="00B5357F"/>
    <w:rsid w:val="00B54E40"/>
    <w:rsid w:val="00B556A7"/>
    <w:rsid w:val="00B5627D"/>
    <w:rsid w:val="00B573CD"/>
    <w:rsid w:val="00B57B70"/>
    <w:rsid w:val="00B60494"/>
    <w:rsid w:val="00B620C7"/>
    <w:rsid w:val="00B631FC"/>
    <w:rsid w:val="00B638F0"/>
    <w:rsid w:val="00B63D35"/>
    <w:rsid w:val="00B63ED4"/>
    <w:rsid w:val="00B64BDA"/>
    <w:rsid w:val="00B66D38"/>
    <w:rsid w:val="00B679DD"/>
    <w:rsid w:val="00B70248"/>
    <w:rsid w:val="00B71580"/>
    <w:rsid w:val="00B7225D"/>
    <w:rsid w:val="00B72D04"/>
    <w:rsid w:val="00B7391E"/>
    <w:rsid w:val="00B7441E"/>
    <w:rsid w:val="00B75CF2"/>
    <w:rsid w:val="00B75D41"/>
    <w:rsid w:val="00B76F37"/>
    <w:rsid w:val="00B7737D"/>
    <w:rsid w:val="00B77F0D"/>
    <w:rsid w:val="00B80500"/>
    <w:rsid w:val="00B80652"/>
    <w:rsid w:val="00B80A0A"/>
    <w:rsid w:val="00B82197"/>
    <w:rsid w:val="00B82E58"/>
    <w:rsid w:val="00B82F05"/>
    <w:rsid w:val="00B82FD7"/>
    <w:rsid w:val="00B83751"/>
    <w:rsid w:val="00B84813"/>
    <w:rsid w:val="00B85580"/>
    <w:rsid w:val="00B85AD4"/>
    <w:rsid w:val="00B86582"/>
    <w:rsid w:val="00B86B06"/>
    <w:rsid w:val="00B86F20"/>
    <w:rsid w:val="00B86F8F"/>
    <w:rsid w:val="00B8762C"/>
    <w:rsid w:val="00B87928"/>
    <w:rsid w:val="00B87F63"/>
    <w:rsid w:val="00B9023F"/>
    <w:rsid w:val="00B92CD1"/>
    <w:rsid w:val="00B936D3"/>
    <w:rsid w:val="00B93FFE"/>
    <w:rsid w:val="00B96CDA"/>
    <w:rsid w:val="00B97438"/>
    <w:rsid w:val="00B97A41"/>
    <w:rsid w:val="00BA020B"/>
    <w:rsid w:val="00BA03E3"/>
    <w:rsid w:val="00BA0A3A"/>
    <w:rsid w:val="00BA0BD0"/>
    <w:rsid w:val="00BA11F1"/>
    <w:rsid w:val="00BA1558"/>
    <w:rsid w:val="00BA1A59"/>
    <w:rsid w:val="00BA277E"/>
    <w:rsid w:val="00BA4E0C"/>
    <w:rsid w:val="00BA4F85"/>
    <w:rsid w:val="00BA5043"/>
    <w:rsid w:val="00BA7276"/>
    <w:rsid w:val="00BA765F"/>
    <w:rsid w:val="00BB0511"/>
    <w:rsid w:val="00BB148C"/>
    <w:rsid w:val="00BB16D1"/>
    <w:rsid w:val="00BB1F58"/>
    <w:rsid w:val="00BB24F3"/>
    <w:rsid w:val="00BB2572"/>
    <w:rsid w:val="00BB2C81"/>
    <w:rsid w:val="00BB301D"/>
    <w:rsid w:val="00BB39A6"/>
    <w:rsid w:val="00BB4E8A"/>
    <w:rsid w:val="00BB5B41"/>
    <w:rsid w:val="00BB7513"/>
    <w:rsid w:val="00BB7933"/>
    <w:rsid w:val="00BC0701"/>
    <w:rsid w:val="00BC1567"/>
    <w:rsid w:val="00BC1BAD"/>
    <w:rsid w:val="00BC2F1A"/>
    <w:rsid w:val="00BC4AEA"/>
    <w:rsid w:val="00BC5CE5"/>
    <w:rsid w:val="00BC7DEB"/>
    <w:rsid w:val="00BD01A6"/>
    <w:rsid w:val="00BD01ED"/>
    <w:rsid w:val="00BD1D3E"/>
    <w:rsid w:val="00BD1FFC"/>
    <w:rsid w:val="00BD28BA"/>
    <w:rsid w:val="00BD2A72"/>
    <w:rsid w:val="00BD3791"/>
    <w:rsid w:val="00BD4023"/>
    <w:rsid w:val="00BD54F5"/>
    <w:rsid w:val="00BD57CB"/>
    <w:rsid w:val="00BD7505"/>
    <w:rsid w:val="00BD7780"/>
    <w:rsid w:val="00BE2045"/>
    <w:rsid w:val="00BE20E7"/>
    <w:rsid w:val="00BE3C05"/>
    <w:rsid w:val="00BE41D8"/>
    <w:rsid w:val="00BE48C9"/>
    <w:rsid w:val="00BE54AC"/>
    <w:rsid w:val="00BE5A8C"/>
    <w:rsid w:val="00BE6332"/>
    <w:rsid w:val="00BE6C71"/>
    <w:rsid w:val="00BE6E70"/>
    <w:rsid w:val="00BE7AA3"/>
    <w:rsid w:val="00BF0EF7"/>
    <w:rsid w:val="00BF10E5"/>
    <w:rsid w:val="00BF1955"/>
    <w:rsid w:val="00BF2C35"/>
    <w:rsid w:val="00BF4ED0"/>
    <w:rsid w:val="00BF58BA"/>
    <w:rsid w:val="00BF722D"/>
    <w:rsid w:val="00C00436"/>
    <w:rsid w:val="00C005C0"/>
    <w:rsid w:val="00C0196C"/>
    <w:rsid w:val="00C02DCF"/>
    <w:rsid w:val="00C03146"/>
    <w:rsid w:val="00C034C5"/>
    <w:rsid w:val="00C03A69"/>
    <w:rsid w:val="00C04091"/>
    <w:rsid w:val="00C054BF"/>
    <w:rsid w:val="00C05969"/>
    <w:rsid w:val="00C05B03"/>
    <w:rsid w:val="00C05E72"/>
    <w:rsid w:val="00C065BC"/>
    <w:rsid w:val="00C0749C"/>
    <w:rsid w:val="00C075F2"/>
    <w:rsid w:val="00C0763E"/>
    <w:rsid w:val="00C076DD"/>
    <w:rsid w:val="00C130B9"/>
    <w:rsid w:val="00C1341F"/>
    <w:rsid w:val="00C13A71"/>
    <w:rsid w:val="00C13D78"/>
    <w:rsid w:val="00C14585"/>
    <w:rsid w:val="00C164F1"/>
    <w:rsid w:val="00C16BA2"/>
    <w:rsid w:val="00C17497"/>
    <w:rsid w:val="00C174A1"/>
    <w:rsid w:val="00C2040B"/>
    <w:rsid w:val="00C2120A"/>
    <w:rsid w:val="00C21FFB"/>
    <w:rsid w:val="00C22464"/>
    <w:rsid w:val="00C22630"/>
    <w:rsid w:val="00C23F2D"/>
    <w:rsid w:val="00C2413C"/>
    <w:rsid w:val="00C242E2"/>
    <w:rsid w:val="00C2439E"/>
    <w:rsid w:val="00C247CF"/>
    <w:rsid w:val="00C2596B"/>
    <w:rsid w:val="00C27601"/>
    <w:rsid w:val="00C310D8"/>
    <w:rsid w:val="00C31433"/>
    <w:rsid w:val="00C314D1"/>
    <w:rsid w:val="00C31B2D"/>
    <w:rsid w:val="00C31E4E"/>
    <w:rsid w:val="00C31FBE"/>
    <w:rsid w:val="00C3230C"/>
    <w:rsid w:val="00C3246F"/>
    <w:rsid w:val="00C32871"/>
    <w:rsid w:val="00C32A71"/>
    <w:rsid w:val="00C32CBE"/>
    <w:rsid w:val="00C33D9B"/>
    <w:rsid w:val="00C34FAA"/>
    <w:rsid w:val="00C36726"/>
    <w:rsid w:val="00C3772B"/>
    <w:rsid w:val="00C37CDE"/>
    <w:rsid w:val="00C404BA"/>
    <w:rsid w:val="00C40887"/>
    <w:rsid w:val="00C41257"/>
    <w:rsid w:val="00C41674"/>
    <w:rsid w:val="00C41889"/>
    <w:rsid w:val="00C41FB0"/>
    <w:rsid w:val="00C42102"/>
    <w:rsid w:val="00C42834"/>
    <w:rsid w:val="00C43589"/>
    <w:rsid w:val="00C43CED"/>
    <w:rsid w:val="00C43E6D"/>
    <w:rsid w:val="00C451C8"/>
    <w:rsid w:val="00C46C32"/>
    <w:rsid w:val="00C47611"/>
    <w:rsid w:val="00C47FBB"/>
    <w:rsid w:val="00C50B29"/>
    <w:rsid w:val="00C50E57"/>
    <w:rsid w:val="00C5135C"/>
    <w:rsid w:val="00C51EF8"/>
    <w:rsid w:val="00C55038"/>
    <w:rsid w:val="00C566A1"/>
    <w:rsid w:val="00C56F80"/>
    <w:rsid w:val="00C57482"/>
    <w:rsid w:val="00C57749"/>
    <w:rsid w:val="00C577AC"/>
    <w:rsid w:val="00C6017A"/>
    <w:rsid w:val="00C60295"/>
    <w:rsid w:val="00C606AB"/>
    <w:rsid w:val="00C607D3"/>
    <w:rsid w:val="00C6089D"/>
    <w:rsid w:val="00C60A40"/>
    <w:rsid w:val="00C6123C"/>
    <w:rsid w:val="00C6255A"/>
    <w:rsid w:val="00C62D26"/>
    <w:rsid w:val="00C647CB"/>
    <w:rsid w:val="00C64DBF"/>
    <w:rsid w:val="00C65C59"/>
    <w:rsid w:val="00C66836"/>
    <w:rsid w:val="00C7028C"/>
    <w:rsid w:val="00C70B51"/>
    <w:rsid w:val="00C72315"/>
    <w:rsid w:val="00C72A06"/>
    <w:rsid w:val="00C737DE"/>
    <w:rsid w:val="00C74E40"/>
    <w:rsid w:val="00C76137"/>
    <w:rsid w:val="00C76637"/>
    <w:rsid w:val="00C777E1"/>
    <w:rsid w:val="00C778FC"/>
    <w:rsid w:val="00C77A8E"/>
    <w:rsid w:val="00C77C56"/>
    <w:rsid w:val="00C80CD5"/>
    <w:rsid w:val="00C8176C"/>
    <w:rsid w:val="00C82188"/>
    <w:rsid w:val="00C827E0"/>
    <w:rsid w:val="00C83041"/>
    <w:rsid w:val="00C83CE7"/>
    <w:rsid w:val="00C84236"/>
    <w:rsid w:val="00C84470"/>
    <w:rsid w:val="00C84518"/>
    <w:rsid w:val="00C8486D"/>
    <w:rsid w:val="00C84AFA"/>
    <w:rsid w:val="00C864A0"/>
    <w:rsid w:val="00C877C8"/>
    <w:rsid w:val="00C90FF2"/>
    <w:rsid w:val="00C922E6"/>
    <w:rsid w:val="00C93C85"/>
    <w:rsid w:val="00C94189"/>
    <w:rsid w:val="00C948DE"/>
    <w:rsid w:val="00C95CF5"/>
    <w:rsid w:val="00C969F9"/>
    <w:rsid w:val="00C96E08"/>
    <w:rsid w:val="00C97512"/>
    <w:rsid w:val="00C97ECE"/>
    <w:rsid w:val="00CA104D"/>
    <w:rsid w:val="00CA11C5"/>
    <w:rsid w:val="00CA11F9"/>
    <w:rsid w:val="00CA2754"/>
    <w:rsid w:val="00CA2D9D"/>
    <w:rsid w:val="00CA3A0B"/>
    <w:rsid w:val="00CA481F"/>
    <w:rsid w:val="00CA4D78"/>
    <w:rsid w:val="00CA5389"/>
    <w:rsid w:val="00CA605E"/>
    <w:rsid w:val="00CA6574"/>
    <w:rsid w:val="00CA7BC9"/>
    <w:rsid w:val="00CB0577"/>
    <w:rsid w:val="00CB0A40"/>
    <w:rsid w:val="00CB0EF2"/>
    <w:rsid w:val="00CB1789"/>
    <w:rsid w:val="00CB1BC3"/>
    <w:rsid w:val="00CB2DB2"/>
    <w:rsid w:val="00CB318A"/>
    <w:rsid w:val="00CB6940"/>
    <w:rsid w:val="00CB777B"/>
    <w:rsid w:val="00CB7FB7"/>
    <w:rsid w:val="00CC0571"/>
    <w:rsid w:val="00CC209B"/>
    <w:rsid w:val="00CC420B"/>
    <w:rsid w:val="00CC4296"/>
    <w:rsid w:val="00CC4A13"/>
    <w:rsid w:val="00CC4C27"/>
    <w:rsid w:val="00CC5DD4"/>
    <w:rsid w:val="00CC6921"/>
    <w:rsid w:val="00CC73E7"/>
    <w:rsid w:val="00CD493C"/>
    <w:rsid w:val="00CD4B0C"/>
    <w:rsid w:val="00CD4FEC"/>
    <w:rsid w:val="00CD58E4"/>
    <w:rsid w:val="00CD605B"/>
    <w:rsid w:val="00CD7547"/>
    <w:rsid w:val="00CD7D8A"/>
    <w:rsid w:val="00CD7D95"/>
    <w:rsid w:val="00CE0061"/>
    <w:rsid w:val="00CE0865"/>
    <w:rsid w:val="00CE0D91"/>
    <w:rsid w:val="00CE12E7"/>
    <w:rsid w:val="00CE2122"/>
    <w:rsid w:val="00CE46F6"/>
    <w:rsid w:val="00CE4F7D"/>
    <w:rsid w:val="00CE5484"/>
    <w:rsid w:val="00CE5E2D"/>
    <w:rsid w:val="00CE78E9"/>
    <w:rsid w:val="00CE7FDE"/>
    <w:rsid w:val="00CF04FA"/>
    <w:rsid w:val="00CF2EDA"/>
    <w:rsid w:val="00CF3CC7"/>
    <w:rsid w:val="00CF4D9F"/>
    <w:rsid w:val="00CF541E"/>
    <w:rsid w:val="00D00889"/>
    <w:rsid w:val="00D00F0D"/>
    <w:rsid w:val="00D021F0"/>
    <w:rsid w:val="00D0267C"/>
    <w:rsid w:val="00D02C0D"/>
    <w:rsid w:val="00D03055"/>
    <w:rsid w:val="00D036C9"/>
    <w:rsid w:val="00D04E17"/>
    <w:rsid w:val="00D054E7"/>
    <w:rsid w:val="00D058AD"/>
    <w:rsid w:val="00D10DB5"/>
    <w:rsid w:val="00D11A78"/>
    <w:rsid w:val="00D11B3A"/>
    <w:rsid w:val="00D12669"/>
    <w:rsid w:val="00D14092"/>
    <w:rsid w:val="00D144A6"/>
    <w:rsid w:val="00D14987"/>
    <w:rsid w:val="00D15217"/>
    <w:rsid w:val="00D156CC"/>
    <w:rsid w:val="00D15979"/>
    <w:rsid w:val="00D164C4"/>
    <w:rsid w:val="00D1652D"/>
    <w:rsid w:val="00D177BF"/>
    <w:rsid w:val="00D17A76"/>
    <w:rsid w:val="00D17AC6"/>
    <w:rsid w:val="00D201BB"/>
    <w:rsid w:val="00D2148A"/>
    <w:rsid w:val="00D22D77"/>
    <w:rsid w:val="00D2439C"/>
    <w:rsid w:val="00D24EF7"/>
    <w:rsid w:val="00D26CA2"/>
    <w:rsid w:val="00D27F14"/>
    <w:rsid w:val="00D300CA"/>
    <w:rsid w:val="00D30AB3"/>
    <w:rsid w:val="00D31F9C"/>
    <w:rsid w:val="00D32164"/>
    <w:rsid w:val="00D328F3"/>
    <w:rsid w:val="00D339C4"/>
    <w:rsid w:val="00D33DEF"/>
    <w:rsid w:val="00D34CC9"/>
    <w:rsid w:val="00D3521B"/>
    <w:rsid w:val="00D36336"/>
    <w:rsid w:val="00D405FC"/>
    <w:rsid w:val="00D4085C"/>
    <w:rsid w:val="00D408E8"/>
    <w:rsid w:val="00D41557"/>
    <w:rsid w:val="00D418AE"/>
    <w:rsid w:val="00D4453C"/>
    <w:rsid w:val="00D44762"/>
    <w:rsid w:val="00D45209"/>
    <w:rsid w:val="00D459B2"/>
    <w:rsid w:val="00D46A57"/>
    <w:rsid w:val="00D50A33"/>
    <w:rsid w:val="00D51ABC"/>
    <w:rsid w:val="00D51EE0"/>
    <w:rsid w:val="00D52FA4"/>
    <w:rsid w:val="00D532A0"/>
    <w:rsid w:val="00D537A6"/>
    <w:rsid w:val="00D53B81"/>
    <w:rsid w:val="00D54072"/>
    <w:rsid w:val="00D54C29"/>
    <w:rsid w:val="00D54D37"/>
    <w:rsid w:val="00D55502"/>
    <w:rsid w:val="00D56562"/>
    <w:rsid w:val="00D56687"/>
    <w:rsid w:val="00D5717E"/>
    <w:rsid w:val="00D57B6E"/>
    <w:rsid w:val="00D61469"/>
    <w:rsid w:val="00D615C0"/>
    <w:rsid w:val="00D61F18"/>
    <w:rsid w:val="00D62282"/>
    <w:rsid w:val="00D62403"/>
    <w:rsid w:val="00D625FC"/>
    <w:rsid w:val="00D63D81"/>
    <w:rsid w:val="00D64DFB"/>
    <w:rsid w:val="00D654A8"/>
    <w:rsid w:val="00D65BA8"/>
    <w:rsid w:val="00D666F4"/>
    <w:rsid w:val="00D66FA4"/>
    <w:rsid w:val="00D67209"/>
    <w:rsid w:val="00D70B88"/>
    <w:rsid w:val="00D71B10"/>
    <w:rsid w:val="00D71C84"/>
    <w:rsid w:val="00D71E3F"/>
    <w:rsid w:val="00D72816"/>
    <w:rsid w:val="00D73D40"/>
    <w:rsid w:val="00D774F4"/>
    <w:rsid w:val="00D77782"/>
    <w:rsid w:val="00D77992"/>
    <w:rsid w:val="00D81CD0"/>
    <w:rsid w:val="00D8207F"/>
    <w:rsid w:val="00D823E4"/>
    <w:rsid w:val="00D849C4"/>
    <w:rsid w:val="00D85AF5"/>
    <w:rsid w:val="00D86FCE"/>
    <w:rsid w:val="00D900AE"/>
    <w:rsid w:val="00D9012D"/>
    <w:rsid w:val="00D9069C"/>
    <w:rsid w:val="00D9164B"/>
    <w:rsid w:val="00D91AA6"/>
    <w:rsid w:val="00D91BF3"/>
    <w:rsid w:val="00D92614"/>
    <w:rsid w:val="00D9277C"/>
    <w:rsid w:val="00D92963"/>
    <w:rsid w:val="00D92A00"/>
    <w:rsid w:val="00D93E09"/>
    <w:rsid w:val="00D95160"/>
    <w:rsid w:val="00D952E4"/>
    <w:rsid w:val="00D96433"/>
    <w:rsid w:val="00D96E10"/>
    <w:rsid w:val="00D97333"/>
    <w:rsid w:val="00DA0610"/>
    <w:rsid w:val="00DA0C17"/>
    <w:rsid w:val="00DA0EDA"/>
    <w:rsid w:val="00DA21E6"/>
    <w:rsid w:val="00DA2647"/>
    <w:rsid w:val="00DA31B7"/>
    <w:rsid w:val="00DA33F9"/>
    <w:rsid w:val="00DA3C2F"/>
    <w:rsid w:val="00DA44BF"/>
    <w:rsid w:val="00DA4B06"/>
    <w:rsid w:val="00DA5363"/>
    <w:rsid w:val="00DA574C"/>
    <w:rsid w:val="00DA5DBB"/>
    <w:rsid w:val="00DA6C04"/>
    <w:rsid w:val="00DB043D"/>
    <w:rsid w:val="00DB1137"/>
    <w:rsid w:val="00DB217D"/>
    <w:rsid w:val="00DB2FCA"/>
    <w:rsid w:val="00DB3851"/>
    <w:rsid w:val="00DB3A13"/>
    <w:rsid w:val="00DB4DAD"/>
    <w:rsid w:val="00DB4E9D"/>
    <w:rsid w:val="00DB5D03"/>
    <w:rsid w:val="00DB6102"/>
    <w:rsid w:val="00DB69CC"/>
    <w:rsid w:val="00DB77C4"/>
    <w:rsid w:val="00DB7A69"/>
    <w:rsid w:val="00DB7D89"/>
    <w:rsid w:val="00DC02E8"/>
    <w:rsid w:val="00DC0E3E"/>
    <w:rsid w:val="00DC2417"/>
    <w:rsid w:val="00DC26ED"/>
    <w:rsid w:val="00DC3D7B"/>
    <w:rsid w:val="00DC43B5"/>
    <w:rsid w:val="00DC49C0"/>
    <w:rsid w:val="00DC5D54"/>
    <w:rsid w:val="00DC5E43"/>
    <w:rsid w:val="00DC5E93"/>
    <w:rsid w:val="00DC7EEA"/>
    <w:rsid w:val="00DD163E"/>
    <w:rsid w:val="00DD1706"/>
    <w:rsid w:val="00DD202D"/>
    <w:rsid w:val="00DD3056"/>
    <w:rsid w:val="00DD30BB"/>
    <w:rsid w:val="00DD3A0B"/>
    <w:rsid w:val="00DD3E75"/>
    <w:rsid w:val="00DD43A5"/>
    <w:rsid w:val="00DD43AF"/>
    <w:rsid w:val="00DD43DC"/>
    <w:rsid w:val="00DD52BE"/>
    <w:rsid w:val="00DD5439"/>
    <w:rsid w:val="00DD5540"/>
    <w:rsid w:val="00DD55BB"/>
    <w:rsid w:val="00DD64B1"/>
    <w:rsid w:val="00DD7BD6"/>
    <w:rsid w:val="00DE0AC1"/>
    <w:rsid w:val="00DE0BA1"/>
    <w:rsid w:val="00DE24C4"/>
    <w:rsid w:val="00DE2BD8"/>
    <w:rsid w:val="00DE3066"/>
    <w:rsid w:val="00DE381A"/>
    <w:rsid w:val="00DE3A81"/>
    <w:rsid w:val="00DE4193"/>
    <w:rsid w:val="00DE4DB9"/>
    <w:rsid w:val="00DE5892"/>
    <w:rsid w:val="00DE591C"/>
    <w:rsid w:val="00DE5DA3"/>
    <w:rsid w:val="00DE6792"/>
    <w:rsid w:val="00DE6962"/>
    <w:rsid w:val="00DF0870"/>
    <w:rsid w:val="00DF0C6C"/>
    <w:rsid w:val="00DF1099"/>
    <w:rsid w:val="00DF1570"/>
    <w:rsid w:val="00DF16E7"/>
    <w:rsid w:val="00DF2AE9"/>
    <w:rsid w:val="00DF3C17"/>
    <w:rsid w:val="00DF435D"/>
    <w:rsid w:val="00DF49F6"/>
    <w:rsid w:val="00DF5B78"/>
    <w:rsid w:val="00DF6EFE"/>
    <w:rsid w:val="00DF70C2"/>
    <w:rsid w:val="00DF773D"/>
    <w:rsid w:val="00DF7A38"/>
    <w:rsid w:val="00DF7C1C"/>
    <w:rsid w:val="00E0071F"/>
    <w:rsid w:val="00E00796"/>
    <w:rsid w:val="00E009CD"/>
    <w:rsid w:val="00E00A55"/>
    <w:rsid w:val="00E01799"/>
    <w:rsid w:val="00E0179D"/>
    <w:rsid w:val="00E025C9"/>
    <w:rsid w:val="00E04750"/>
    <w:rsid w:val="00E06128"/>
    <w:rsid w:val="00E0687A"/>
    <w:rsid w:val="00E07BF1"/>
    <w:rsid w:val="00E10B6F"/>
    <w:rsid w:val="00E1196E"/>
    <w:rsid w:val="00E11E08"/>
    <w:rsid w:val="00E13EE1"/>
    <w:rsid w:val="00E151C4"/>
    <w:rsid w:val="00E1549F"/>
    <w:rsid w:val="00E155B2"/>
    <w:rsid w:val="00E155F1"/>
    <w:rsid w:val="00E1610C"/>
    <w:rsid w:val="00E16757"/>
    <w:rsid w:val="00E177E6"/>
    <w:rsid w:val="00E17EB7"/>
    <w:rsid w:val="00E20538"/>
    <w:rsid w:val="00E212C2"/>
    <w:rsid w:val="00E2167F"/>
    <w:rsid w:val="00E222AC"/>
    <w:rsid w:val="00E22326"/>
    <w:rsid w:val="00E22FF6"/>
    <w:rsid w:val="00E243BF"/>
    <w:rsid w:val="00E24BE5"/>
    <w:rsid w:val="00E25A1D"/>
    <w:rsid w:val="00E31FD0"/>
    <w:rsid w:val="00E323AB"/>
    <w:rsid w:val="00E32445"/>
    <w:rsid w:val="00E32535"/>
    <w:rsid w:val="00E327B7"/>
    <w:rsid w:val="00E33543"/>
    <w:rsid w:val="00E3356F"/>
    <w:rsid w:val="00E34253"/>
    <w:rsid w:val="00E35113"/>
    <w:rsid w:val="00E36515"/>
    <w:rsid w:val="00E371AE"/>
    <w:rsid w:val="00E37D60"/>
    <w:rsid w:val="00E37DEB"/>
    <w:rsid w:val="00E413C2"/>
    <w:rsid w:val="00E41A5E"/>
    <w:rsid w:val="00E43AD7"/>
    <w:rsid w:val="00E4443A"/>
    <w:rsid w:val="00E44777"/>
    <w:rsid w:val="00E44E51"/>
    <w:rsid w:val="00E45F19"/>
    <w:rsid w:val="00E46BD2"/>
    <w:rsid w:val="00E46BF9"/>
    <w:rsid w:val="00E50306"/>
    <w:rsid w:val="00E5202E"/>
    <w:rsid w:val="00E53B24"/>
    <w:rsid w:val="00E54348"/>
    <w:rsid w:val="00E5483E"/>
    <w:rsid w:val="00E553C7"/>
    <w:rsid w:val="00E56028"/>
    <w:rsid w:val="00E5701D"/>
    <w:rsid w:val="00E57540"/>
    <w:rsid w:val="00E577B9"/>
    <w:rsid w:val="00E57991"/>
    <w:rsid w:val="00E610ED"/>
    <w:rsid w:val="00E6143B"/>
    <w:rsid w:val="00E61950"/>
    <w:rsid w:val="00E650CE"/>
    <w:rsid w:val="00E669C6"/>
    <w:rsid w:val="00E70BB4"/>
    <w:rsid w:val="00E7134F"/>
    <w:rsid w:val="00E71923"/>
    <w:rsid w:val="00E72411"/>
    <w:rsid w:val="00E729BC"/>
    <w:rsid w:val="00E74A7B"/>
    <w:rsid w:val="00E754C3"/>
    <w:rsid w:val="00E755B4"/>
    <w:rsid w:val="00E757DA"/>
    <w:rsid w:val="00E76157"/>
    <w:rsid w:val="00E77BDF"/>
    <w:rsid w:val="00E77EC9"/>
    <w:rsid w:val="00E80604"/>
    <w:rsid w:val="00E813AC"/>
    <w:rsid w:val="00E83596"/>
    <w:rsid w:val="00E837A4"/>
    <w:rsid w:val="00E83885"/>
    <w:rsid w:val="00E83DDB"/>
    <w:rsid w:val="00E85367"/>
    <w:rsid w:val="00E85935"/>
    <w:rsid w:val="00E85B7A"/>
    <w:rsid w:val="00E85F7D"/>
    <w:rsid w:val="00E862F1"/>
    <w:rsid w:val="00E86310"/>
    <w:rsid w:val="00E877E4"/>
    <w:rsid w:val="00E91122"/>
    <w:rsid w:val="00E913EA"/>
    <w:rsid w:val="00E92300"/>
    <w:rsid w:val="00E93237"/>
    <w:rsid w:val="00E9445E"/>
    <w:rsid w:val="00E954CB"/>
    <w:rsid w:val="00E95677"/>
    <w:rsid w:val="00E96724"/>
    <w:rsid w:val="00E96BE3"/>
    <w:rsid w:val="00E970EB"/>
    <w:rsid w:val="00E97338"/>
    <w:rsid w:val="00EA1CB6"/>
    <w:rsid w:val="00EA222B"/>
    <w:rsid w:val="00EA28C0"/>
    <w:rsid w:val="00EA3199"/>
    <w:rsid w:val="00EA3691"/>
    <w:rsid w:val="00EA3B5F"/>
    <w:rsid w:val="00EA3C7B"/>
    <w:rsid w:val="00EA499D"/>
    <w:rsid w:val="00EA5FB1"/>
    <w:rsid w:val="00EA7631"/>
    <w:rsid w:val="00EB1631"/>
    <w:rsid w:val="00EB2807"/>
    <w:rsid w:val="00EB3A03"/>
    <w:rsid w:val="00EB3C3F"/>
    <w:rsid w:val="00EB3F22"/>
    <w:rsid w:val="00EB455E"/>
    <w:rsid w:val="00EB50AD"/>
    <w:rsid w:val="00EB5A2D"/>
    <w:rsid w:val="00EB6078"/>
    <w:rsid w:val="00EB6D94"/>
    <w:rsid w:val="00EB78B3"/>
    <w:rsid w:val="00EC08C5"/>
    <w:rsid w:val="00EC0D42"/>
    <w:rsid w:val="00EC1F41"/>
    <w:rsid w:val="00EC2ED2"/>
    <w:rsid w:val="00EC34C3"/>
    <w:rsid w:val="00EC353F"/>
    <w:rsid w:val="00EC4975"/>
    <w:rsid w:val="00EC4BCC"/>
    <w:rsid w:val="00EC5025"/>
    <w:rsid w:val="00EC5DE9"/>
    <w:rsid w:val="00EC69ED"/>
    <w:rsid w:val="00EC6B17"/>
    <w:rsid w:val="00EC6E0A"/>
    <w:rsid w:val="00EC6FE9"/>
    <w:rsid w:val="00EC739E"/>
    <w:rsid w:val="00EC7BBD"/>
    <w:rsid w:val="00ED37F7"/>
    <w:rsid w:val="00ED3EDC"/>
    <w:rsid w:val="00ED3FB1"/>
    <w:rsid w:val="00ED49E9"/>
    <w:rsid w:val="00ED5FC5"/>
    <w:rsid w:val="00ED6160"/>
    <w:rsid w:val="00ED6CC4"/>
    <w:rsid w:val="00ED7A83"/>
    <w:rsid w:val="00EE019D"/>
    <w:rsid w:val="00EE0924"/>
    <w:rsid w:val="00EE1148"/>
    <w:rsid w:val="00EE347F"/>
    <w:rsid w:val="00EE388D"/>
    <w:rsid w:val="00EE3DCE"/>
    <w:rsid w:val="00EE4591"/>
    <w:rsid w:val="00EE47EE"/>
    <w:rsid w:val="00EE4AD3"/>
    <w:rsid w:val="00EE4B1D"/>
    <w:rsid w:val="00EE51E9"/>
    <w:rsid w:val="00EE546A"/>
    <w:rsid w:val="00EE6E08"/>
    <w:rsid w:val="00EE7733"/>
    <w:rsid w:val="00EF1A42"/>
    <w:rsid w:val="00EF2D90"/>
    <w:rsid w:val="00EF3D3F"/>
    <w:rsid w:val="00EF3E03"/>
    <w:rsid w:val="00EF41BE"/>
    <w:rsid w:val="00EF48D9"/>
    <w:rsid w:val="00EF4C2E"/>
    <w:rsid w:val="00EF5097"/>
    <w:rsid w:val="00EF5AEA"/>
    <w:rsid w:val="00EF7F42"/>
    <w:rsid w:val="00F00EDC"/>
    <w:rsid w:val="00F017FB"/>
    <w:rsid w:val="00F01B8D"/>
    <w:rsid w:val="00F01CA8"/>
    <w:rsid w:val="00F02D6F"/>
    <w:rsid w:val="00F03A0D"/>
    <w:rsid w:val="00F03B4C"/>
    <w:rsid w:val="00F044BB"/>
    <w:rsid w:val="00F05B9F"/>
    <w:rsid w:val="00F069C9"/>
    <w:rsid w:val="00F07D98"/>
    <w:rsid w:val="00F104D9"/>
    <w:rsid w:val="00F1060C"/>
    <w:rsid w:val="00F10DC0"/>
    <w:rsid w:val="00F10F09"/>
    <w:rsid w:val="00F11AE8"/>
    <w:rsid w:val="00F14DC6"/>
    <w:rsid w:val="00F15F7A"/>
    <w:rsid w:val="00F161D5"/>
    <w:rsid w:val="00F16C0F"/>
    <w:rsid w:val="00F170E9"/>
    <w:rsid w:val="00F20080"/>
    <w:rsid w:val="00F2020F"/>
    <w:rsid w:val="00F2046D"/>
    <w:rsid w:val="00F20928"/>
    <w:rsid w:val="00F20F30"/>
    <w:rsid w:val="00F21A1D"/>
    <w:rsid w:val="00F23B50"/>
    <w:rsid w:val="00F242CC"/>
    <w:rsid w:val="00F24CF3"/>
    <w:rsid w:val="00F251BE"/>
    <w:rsid w:val="00F2586D"/>
    <w:rsid w:val="00F25D6C"/>
    <w:rsid w:val="00F26610"/>
    <w:rsid w:val="00F30E2F"/>
    <w:rsid w:val="00F31194"/>
    <w:rsid w:val="00F3165A"/>
    <w:rsid w:val="00F31A0B"/>
    <w:rsid w:val="00F323DC"/>
    <w:rsid w:val="00F33618"/>
    <w:rsid w:val="00F34638"/>
    <w:rsid w:val="00F34842"/>
    <w:rsid w:val="00F349EE"/>
    <w:rsid w:val="00F3599A"/>
    <w:rsid w:val="00F3602D"/>
    <w:rsid w:val="00F36988"/>
    <w:rsid w:val="00F36C67"/>
    <w:rsid w:val="00F36C90"/>
    <w:rsid w:val="00F372FB"/>
    <w:rsid w:val="00F404DE"/>
    <w:rsid w:val="00F412EE"/>
    <w:rsid w:val="00F41EA1"/>
    <w:rsid w:val="00F45FD8"/>
    <w:rsid w:val="00F46678"/>
    <w:rsid w:val="00F46BB5"/>
    <w:rsid w:val="00F47558"/>
    <w:rsid w:val="00F52085"/>
    <w:rsid w:val="00F52331"/>
    <w:rsid w:val="00F52380"/>
    <w:rsid w:val="00F52593"/>
    <w:rsid w:val="00F52D96"/>
    <w:rsid w:val="00F53371"/>
    <w:rsid w:val="00F5342D"/>
    <w:rsid w:val="00F537A2"/>
    <w:rsid w:val="00F54A67"/>
    <w:rsid w:val="00F572CF"/>
    <w:rsid w:val="00F6001A"/>
    <w:rsid w:val="00F608D6"/>
    <w:rsid w:val="00F60A7C"/>
    <w:rsid w:val="00F60EEC"/>
    <w:rsid w:val="00F6116C"/>
    <w:rsid w:val="00F61A13"/>
    <w:rsid w:val="00F62A23"/>
    <w:rsid w:val="00F632B0"/>
    <w:rsid w:val="00F63440"/>
    <w:rsid w:val="00F63BBD"/>
    <w:rsid w:val="00F63DF5"/>
    <w:rsid w:val="00F6428A"/>
    <w:rsid w:val="00F644AF"/>
    <w:rsid w:val="00F64664"/>
    <w:rsid w:val="00F64B84"/>
    <w:rsid w:val="00F652C2"/>
    <w:rsid w:val="00F66192"/>
    <w:rsid w:val="00F66B92"/>
    <w:rsid w:val="00F67028"/>
    <w:rsid w:val="00F67766"/>
    <w:rsid w:val="00F7016A"/>
    <w:rsid w:val="00F703EA"/>
    <w:rsid w:val="00F705DA"/>
    <w:rsid w:val="00F70E29"/>
    <w:rsid w:val="00F70E73"/>
    <w:rsid w:val="00F71B08"/>
    <w:rsid w:val="00F7221A"/>
    <w:rsid w:val="00F730CE"/>
    <w:rsid w:val="00F745FB"/>
    <w:rsid w:val="00F74E91"/>
    <w:rsid w:val="00F75877"/>
    <w:rsid w:val="00F76291"/>
    <w:rsid w:val="00F76C1D"/>
    <w:rsid w:val="00F76C48"/>
    <w:rsid w:val="00F7782C"/>
    <w:rsid w:val="00F808A1"/>
    <w:rsid w:val="00F81786"/>
    <w:rsid w:val="00F8184B"/>
    <w:rsid w:val="00F81F78"/>
    <w:rsid w:val="00F8378A"/>
    <w:rsid w:val="00F83947"/>
    <w:rsid w:val="00F85387"/>
    <w:rsid w:val="00F85C13"/>
    <w:rsid w:val="00F85E0D"/>
    <w:rsid w:val="00F87557"/>
    <w:rsid w:val="00F87F43"/>
    <w:rsid w:val="00F93489"/>
    <w:rsid w:val="00F938A5"/>
    <w:rsid w:val="00F93C80"/>
    <w:rsid w:val="00F9511F"/>
    <w:rsid w:val="00F95BFE"/>
    <w:rsid w:val="00F96D2E"/>
    <w:rsid w:val="00F96EE0"/>
    <w:rsid w:val="00FA16C7"/>
    <w:rsid w:val="00FA1CB0"/>
    <w:rsid w:val="00FA32D3"/>
    <w:rsid w:val="00FA3804"/>
    <w:rsid w:val="00FA3909"/>
    <w:rsid w:val="00FA4E49"/>
    <w:rsid w:val="00FA63F0"/>
    <w:rsid w:val="00FA6944"/>
    <w:rsid w:val="00FA7A63"/>
    <w:rsid w:val="00FB0C1E"/>
    <w:rsid w:val="00FB0FB8"/>
    <w:rsid w:val="00FB19A2"/>
    <w:rsid w:val="00FB2E00"/>
    <w:rsid w:val="00FB39D9"/>
    <w:rsid w:val="00FB40D4"/>
    <w:rsid w:val="00FB48EF"/>
    <w:rsid w:val="00FB4D85"/>
    <w:rsid w:val="00FB4E13"/>
    <w:rsid w:val="00FB4E85"/>
    <w:rsid w:val="00FB6161"/>
    <w:rsid w:val="00FB6747"/>
    <w:rsid w:val="00FB6AF6"/>
    <w:rsid w:val="00FB72BD"/>
    <w:rsid w:val="00FC0050"/>
    <w:rsid w:val="00FC1CE9"/>
    <w:rsid w:val="00FC2236"/>
    <w:rsid w:val="00FC225E"/>
    <w:rsid w:val="00FC3914"/>
    <w:rsid w:val="00FC410F"/>
    <w:rsid w:val="00FC42D6"/>
    <w:rsid w:val="00FC4680"/>
    <w:rsid w:val="00FC4ACB"/>
    <w:rsid w:val="00FC506A"/>
    <w:rsid w:val="00FC5E67"/>
    <w:rsid w:val="00FC723E"/>
    <w:rsid w:val="00FC76FB"/>
    <w:rsid w:val="00FD00E6"/>
    <w:rsid w:val="00FD012C"/>
    <w:rsid w:val="00FD0606"/>
    <w:rsid w:val="00FD1061"/>
    <w:rsid w:val="00FD16D3"/>
    <w:rsid w:val="00FD1D99"/>
    <w:rsid w:val="00FD1FFA"/>
    <w:rsid w:val="00FD30C2"/>
    <w:rsid w:val="00FD497D"/>
    <w:rsid w:val="00FD524A"/>
    <w:rsid w:val="00FD54EB"/>
    <w:rsid w:val="00FD5C3D"/>
    <w:rsid w:val="00FD5D53"/>
    <w:rsid w:val="00FD6067"/>
    <w:rsid w:val="00FD64DA"/>
    <w:rsid w:val="00FD6E1F"/>
    <w:rsid w:val="00FE025A"/>
    <w:rsid w:val="00FE08AE"/>
    <w:rsid w:val="00FE0B9B"/>
    <w:rsid w:val="00FE1012"/>
    <w:rsid w:val="00FE12E4"/>
    <w:rsid w:val="00FE3F72"/>
    <w:rsid w:val="00FE4FEB"/>
    <w:rsid w:val="00FE5CDE"/>
    <w:rsid w:val="00FE5D54"/>
    <w:rsid w:val="00FE628D"/>
    <w:rsid w:val="00FE6D2F"/>
    <w:rsid w:val="00FE7909"/>
    <w:rsid w:val="00FF1476"/>
    <w:rsid w:val="00FF268C"/>
    <w:rsid w:val="00FF3148"/>
    <w:rsid w:val="00FF3C46"/>
    <w:rsid w:val="00FF5F20"/>
    <w:rsid w:val="00FF640C"/>
    <w:rsid w:val="00FF66E2"/>
    <w:rsid w:val="00FF7056"/>
    <w:rsid w:val="00FF71A6"/>
    <w:rsid w:val="00FF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5:chartTrackingRefBased/>
  <w15:docId w15:val="{17C153DA-7E84-4AED-ACD0-FEEC10200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iPriority="35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ind w:left="1440" w:firstLine="720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caps/>
      <w:sz w:val="22"/>
      <w:szCs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Comic Sans MS" w:hAnsi="Comic Sans MS"/>
      <w:b/>
      <w:bCs/>
      <w:i/>
      <w:i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20"/>
    </w:pPr>
  </w:style>
  <w:style w:type="paragraph" w:styleId="Footer">
    <w:name w:val="footer"/>
    <w:basedOn w:val="Normal"/>
    <w:link w:val="FooterChar"/>
    <w:uiPriority w:val="99"/>
    <w:pPr>
      <w:widowControl w:val="0"/>
      <w:tabs>
        <w:tab w:val="center" w:pos="4320"/>
        <w:tab w:val="right" w:pos="8640"/>
      </w:tabs>
    </w:pPr>
    <w:rPr>
      <w:sz w:val="20"/>
      <w:szCs w:val="20"/>
      <w:lang w:val="en-GB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llowedHyperlink">
    <w:name w:val="FollowedHyperlink"/>
    <w:rPr>
      <w:color w:val="800080"/>
      <w:u w:val="single"/>
    </w:rPr>
  </w:style>
  <w:style w:type="paragraph" w:customStyle="1" w:styleId="font5">
    <w:name w:val="font5"/>
    <w:basedOn w:val="Normal"/>
    <w:pPr>
      <w:autoSpaceDE/>
      <w:autoSpaceDN/>
      <w:spacing w:before="100" w:beforeAutospacing="1" w:after="100" w:afterAutospacing="1"/>
    </w:pPr>
    <w:rPr>
      <w:rFonts w:ascii="Tahoma" w:eastAsia="Arial Unicode MS" w:hAnsi="Tahoma"/>
      <w:color w:val="000000"/>
      <w:sz w:val="16"/>
      <w:szCs w:val="16"/>
    </w:rPr>
  </w:style>
  <w:style w:type="paragraph" w:customStyle="1" w:styleId="font6">
    <w:name w:val="font6"/>
    <w:basedOn w:val="Normal"/>
    <w:pPr>
      <w:autoSpaceDE/>
      <w:autoSpaceDN/>
      <w:spacing w:before="100" w:beforeAutospacing="1" w:after="100" w:afterAutospacing="1"/>
    </w:pPr>
    <w:rPr>
      <w:rFonts w:ascii="Tahoma" w:eastAsia="Arial Unicode MS" w:hAnsi="Tahoma"/>
      <w:b/>
      <w:bCs/>
      <w:color w:val="000000"/>
      <w:sz w:val="16"/>
      <w:szCs w:val="16"/>
    </w:rPr>
  </w:style>
  <w:style w:type="paragraph" w:customStyle="1" w:styleId="xl24">
    <w:name w:val="xl24"/>
    <w:basedOn w:val="Normal"/>
    <w:pP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8"/>
      <w:szCs w:val="18"/>
    </w:rPr>
  </w:style>
  <w:style w:type="paragraph" w:customStyle="1" w:styleId="xl25">
    <w:name w:val="xl25"/>
    <w:basedOn w:val="Normal"/>
    <w:pPr>
      <w:pBdr>
        <w:bottom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8"/>
      <w:szCs w:val="18"/>
    </w:rPr>
  </w:style>
  <w:style w:type="paragraph" w:customStyle="1" w:styleId="xl26">
    <w:name w:val="xl26"/>
    <w:basedOn w:val="Normal"/>
    <w:pP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color w:val="0000FF"/>
      <w:sz w:val="16"/>
      <w:szCs w:val="16"/>
    </w:rPr>
  </w:style>
  <w:style w:type="paragraph" w:customStyle="1" w:styleId="xl27">
    <w:name w:val="xl27"/>
    <w:basedOn w:val="Normal"/>
    <w:pP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28">
    <w:name w:val="xl28"/>
    <w:basedOn w:val="Normal"/>
    <w:pPr>
      <w:pBdr>
        <w:top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8"/>
      <w:szCs w:val="18"/>
    </w:rPr>
  </w:style>
  <w:style w:type="paragraph" w:customStyle="1" w:styleId="xl29">
    <w:name w:val="xl29"/>
    <w:basedOn w:val="Normal"/>
    <w:pPr>
      <w:pBdr>
        <w:top w:val="single" w:sz="4" w:space="0" w:color="auto"/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8"/>
      <w:szCs w:val="18"/>
    </w:rPr>
  </w:style>
  <w:style w:type="paragraph" w:customStyle="1" w:styleId="xl30">
    <w:name w:val="xl30"/>
    <w:basedOn w:val="Normal"/>
    <w:pPr>
      <w:pBdr>
        <w:bottom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1">
    <w:name w:val="xl31"/>
    <w:basedOn w:val="Normal"/>
    <w:pPr>
      <w:pBdr>
        <w:top w:val="single" w:sz="8" w:space="0" w:color="auto"/>
        <w:left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2">
    <w:name w:val="xl32"/>
    <w:basedOn w:val="Normal"/>
    <w:pPr>
      <w:pBdr>
        <w:top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3">
    <w:name w:val="xl33"/>
    <w:basedOn w:val="Normal"/>
    <w:pPr>
      <w:pBdr>
        <w:top w:val="single" w:sz="8" w:space="0" w:color="auto"/>
        <w:right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4">
    <w:name w:val="xl34"/>
    <w:basedOn w:val="Normal"/>
    <w:pPr>
      <w:pBdr>
        <w:left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5">
    <w:name w:val="xl35"/>
    <w:basedOn w:val="Normal"/>
    <w:pPr>
      <w:pBdr>
        <w:right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6">
    <w:name w:val="xl36"/>
    <w:basedOn w:val="Normal"/>
    <w:pPr>
      <w:pBdr>
        <w:left w:val="single" w:sz="8" w:space="0" w:color="auto"/>
        <w:bottom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7">
    <w:name w:val="xl37"/>
    <w:basedOn w:val="Normal"/>
    <w:pPr>
      <w:pBdr>
        <w:top w:val="single" w:sz="4" w:space="0" w:color="auto"/>
        <w:left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8">
    <w:name w:val="xl38"/>
    <w:basedOn w:val="Normal"/>
    <w:pPr>
      <w:pBdr>
        <w:top w:val="single" w:sz="4" w:space="0" w:color="auto"/>
        <w:right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9">
    <w:name w:val="xl39"/>
    <w:basedOn w:val="Normal"/>
    <w:pPr>
      <w:pBdr>
        <w:left w:val="single" w:sz="8" w:space="0" w:color="auto"/>
        <w:bottom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0">
    <w:name w:val="xl40"/>
    <w:basedOn w:val="Normal"/>
    <w:pPr>
      <w:pBdr>
        <w:bottom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1">
    <w:name w:val="xl41"/>
    <w:basedOn w:val="Normal"/>
    <w:pPr>
      <w:pBdr>
        <w:bottom w:val="single" w:sz="8" w:space="0" w:color="auto"/>
        <w:right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2">
    <w:name w:val="xl42"/>
    <w:basedOn w:val="Normal"/>
    <w:pP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6"/>
      <w:szCs w:val="16"/>
    </w:rPr>
  </w:style>
  <w:style w:type="paragraph" w:customStyle="1" w:styleId="xl43">
    <w:name w:val="xl43"/>
    <w:basedOn w:val="Normal"/>
    <w:pP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4">
    <w:name w:val="xl44"/>
    <w:basedOn w:val="Normal"/>
    <w:pP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6"/>
      <w:szCs w:val="16"/>
    </w:rPr>
  </w:style>
  <w:style w:type="paragraph" w:customStyle="1" w:styleId="xl45">
    <w:name w:val="xl45"/>
    <w:basedOn w:val="Normal"/>
    <w:pPr>
      <w:shd w:val="clear" w:color="auto" w:fill="FFFFFF"/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46">
    <w:name w:val="xl46"/>
    <w:basedOn w:val="Normal"/>
    <w:pP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6"/>
      <w:szCs w:val="16"/>
    </w:rPr>
  </w:style>
  <w:style w:type="paragraph" w:customStyle="1" w:styleId="xl47">
    <w:name w:val="xl47"/>
    <w:basedOn w:val="Normal"/>
    <w:pPr>
      <w:pBdr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6"/>
      <w:szCs w:val="16"/>
    </w:rPr>
  </w:style>
  <w:style w:type="paragraph" w:customStyle="1" w:styleId="xl48">
    <w:name w:val="xl48"/>
    <w:basedOn w:val="Normal"/>
    <w:pPr>
      <w:pBdr>
        <w:top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49">
    <w:name w:val="xl49"/>
    <w:basedOn w:val="Normal"/>
    <w:pPr>
      <w:pBdr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50">
    <w:name w:val="xl50"/>
    <w:basedOn w:val="Normal"/>
    <w:pPr>
      <w:pBdr>
        <w:top w:val="single" w:sz="4" w:space="0" w:color="auto"/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  <w:jc w:val="center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51">
    <w:name w:val="xl51"/>
    <w:basedOn w:val="Normal"/>
    <w:pPr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eastAsia="Arial Unicode MS" w:hAnsi="Arial"/>
      <w:color w:val="FFFFFF"/>
      <w:sz w:val="18"/>
      <w:szCs w:val="18"/>
    </w:rPr>
  </w:style>
  <w:style w:type="paragraph" w:customStyle="1" w:styleId="xl52">
    <w:name w:val="xl52"/>
    <w:basedOn w:val="Normal"/>
    <w:pPr>
      <w:pBdr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eastAsia="Arial Unicode MS" w:hAnsi="Arial"/>
      <w:color w:val="FFFFFF"/>
    </w:rPr>
  </w:style>
  <w:style w:type="paragraph" w:customStyle="1" w:styleId="xl53">
    <w:name w:val="xl53"/>
    <w:basedOn w:val="Normal"/>
    <w:pPr>
      <w:pBdr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6"/>
      <w:szCs w:val="16"/>
    </w:rPr>
  </w:style>
  <w:style w:type="paragraph" w:customStyle="1" w:styleId="xl54">
    <w:name w:val="xl54"/>
    <w:basedOn w:val="Normal"/>
    <w:pPr>
      <w:pBdr>
        <w:top w:val="single" w:sz="4" w:space="0" w:color="auto"/>
      </w:pBdr>
      <w:autoSpaceDE/>
      <w:autoSpaceDN/>
      <w:spacing w:before="100" w:beforeAutospacing="1" w:after="100" w:afterAutospacing="1"/>
    </w:pPr>
    <w:rPr>
      <w:rFonts w:ascii="Arial" w:eastAsia="Arial Unicode MS" w:hAnsi="Arial"/>
      <w:color w:val="FFFFFF"/>
      <w:sz w:val="18"/>
      <w:szCs w:val="18"/>
    </w:rPr>
  </w:style>
  <w:style w:type="paragraph" w:customStyle="1" w:styleId="xl55">
    <w:name w:val="xl55"/>
    <w:basedOn w:val="Normal"/>
    <w:pPr>
      <w:pBdr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8"/>
      <w:szCs w:val="18"/>
    </w:rPr>
  </w:style>
  <w:style w:type="paragraph" w:customStyle="1" w:styleId="xl56">
    <w:name w:val="xl56"/>
    <w:basedOn w:val="Normal"/>
    <w:pP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57">
    <w:name w:val="xl57"/>
    <w:basedOn w:val="Normal"/>
    <w:pPr>
      <w:pBdr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58">
    <w:name w:val="xl58"/>
    <w:basedOn w:val="Normal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</w:pPr>
    <w:rPr>
      <w:rFonts w:ascii="Arial" w:eastAsia="Arial Unicode MS" w:hAnsi="Arial"/>
      <w:b/>
      <w:bCs/>
      <w:color w:val="FFFFFF"/>
      <w:sz w:val="16"/>
      <w:szCs w:val="16"/>
    </w:rPr>
  </w:style>
  <w:style w:type="paragraph" w:customStyle="1" w:styleId="xl59">
    <w:name w:val="xl59"/>
    <w:basedOn w:val="Normal"/>
    <w:pPr>
      <w:pBdr>
        <w:top w:val="single" w:sz="4" w:space="0" w:color="auto"/>
        <w:lef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8"/>
      <w:szCs w:val="18"/>
    </w:rPr>
  </w:style>
  <w:style w:type="paragraph" w:customStyle="1" w:styleId="xl60">
    <w:name w:val="xl60"/>
    <w:basedOn w:val="Normal"/>
    <w:pPr>
      <w:pBdr>
        <w:lef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6"/>
      <w:szCs w:val="16"/>
    </w:rPr>
  </w:style>
  <w:style w:type="paragraph" w:customStyle="1" w:styleId="xl61">
    <w:name w:val="xl61"/>
    <w:basedOn w:val="Normal"/>
    <w:pPr>
      <w:pBdr>
        <w:lef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62">
    <w:name w:val="xl62"/>
    <w:basedOn w:val="Normal"/>
    <w:pPr>
      <w:pBdr>
        <w:top w:val="single" w:sz="4" w:space="0" w:color="auto"/>
        <w:left w:val="single" w:sz="4" w:space="0" w:color="auto"/>
      </w:pBdr>
      <w:shd w:val="clear" w:color="auto" w:fill="FFFFFF"/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63">
    <w:name w:val="xl63"/>
    <w:basedOn w:val="Normal"/>
    <w:pPr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FFFFFF"/>
      <w:sz w:val="16"/>
      <w:szCs w:val="16"/>
    </w:rPr>
  </w:style>
  <w:style w:type="paragraph" w:customStyle="1" w:styleId="xl64">
    <w:name w:val="xl64"/>
    <w:basedOn w:val="Normal"/>
    <w:pPr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FFFFFF"/>
      <w:sz w:val="16"/>
      <w:szCs w:val="16"/>
    </w:rPr>
  </w:style>
  <w:style w:type="paragraph" w:customStyle="1" w:styleId="xl65">
    <w:name w:val="xl65"/>
    <w:basedOn w:val="Normal"/>
    <w:pPr>
      <w:pBdr>
        <w:bottom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FFFFFF"/>
      <w:sz w:val="16"/>
      <w:szCs w:val="16"/>
    </w:rPr>
  </w:style>
  <w:style w:type="paragraph" w:customStyle="1" w:styleId="xl66">
    <w:name w:val="xl66"/>
    <w:basedOn w:val="Normal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FFFFFF"/>
      <w:sz w:val="16"/>
      <w:szCs w:val="16"/>
    </w:rPr>
  </w:style>
  <w:style w:type="paragraph" w:customStyle="1" w:styleId="xl67">
    <w:name w:val="xl67"/>
    <w:basedOn w:val="Normal"/>
    <w:pPr>
      <w:pBdr>
        <w:left w:val="single" w:sz="4" w:space="0" w:color="auto"/>
      </w:pBdr>
      <w:autoSpaceDE/>
      <w:autoSpaceDN/>
      <w:spacing w:before="100" w:beforeAutospacing="1" w:after="100" w:afterAutospacing="1"/>
    </w:pPr>
    <w:rPr>
      <w:rFonts w:ascii="Arial" w:eastAsia="Arial Unicode MS" w:hAnsi="Arial"/>
      <w:color w:val="FFFFFF"/>
    </w:rPr>
  </w:style>
  <w:style w:type="paragraph" w:customStyle="1" w:styleId="xl68">
    <w:name w:val="xl68"/>
    <w:basedOn w:val="Normal"/>
    <w:pPr>
      <w:pBdr>
        <w:left w:val="single" w:sz="4" w:space="0" w:color="auto"/>
        <w:bottom w:val="single" w:sz="4" w:space="0" w:color="auto"/>
      </w:pBdr>
      <w:shd w:val="clear" w:color="auto" w:fill="FFFFFF"/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69">
    <w:name w:val="xl69"/>
    <w:basedOn w:val="Normal"/>
    <w:pPr>
      <w:pBdr>
        <w:bottom w:val="single" w:sz="4" w:space="0" w:color="auto"/>
      </w:pBdr>
      <w:shd w:val="clear" w:color="auto" w:fill="FFFFFF"/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70">
    <w:name w:val="xl70"/>
    <w:basedOn w:val="Normal"/>
    <w:pPr>
      <w:pBdr>
        <w:bottom w:val="single" w:sz="4" w:space="0" w:color="auto"/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71">
    <w:name w:val="xl71"/>
    <w:basedOn w:val="Normal"/>
    <w:pPr>
      <w:shd w:val="clear" w:color="auto" w:fill="FFFFFF"/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72">
    <w:name w:val="xl72"/>
    <w:basedOn w:val="Normal"/>
    <w:pPr>
      <w:pBdr>
        <w:top w:val="single" w:sz="4" w:space="0" w:color="auto"/>
      </w:pBdr>
      <w:shd w:val="clear" w:color="auto" w:fill="FFFFFF"/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73">
    <w:name w:val="xl73"/>
    <w:basedOn w:val="Normal"/>
    <w:pPr>
      <w:pBdr>
        <w:bottom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74">
    <w:name w:val="xl74"/>
    <w:basedOn w:val="Normal"/>
    <w:pPr>
      <w:pBdr>
        <w:bottom w:val="single" w:sz="4" w:space="0" w:color="auto"/>
        <w:right w:val="single" w:sz="8" w:space="0" w:color="auto"/>
      </w:pBdr>
      <w:shd w:val="clear" w:color="auto" w:fill="FFFFFF"/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75">
    <w:name w:val="xl75"/>
    <w:basedOn w:val="Normal"/>
    <w:pPr>
      <w:pBdr>
        <w:left w:val="single" w:sz="4" w:space="0" w:color="auto"/>
        <w:bottom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76">
    <w:name w:val="xl76"/>
    <w:basedOn w:val="Normal"/>
    <w:pPr>
      <w:pBdr>
        <w:bottom w:val="single" w:sz="8" w:space="0" w:color="auto"/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character" w:styleId="Strong">
    <w:name w:val="Strong"/>
    <w:uiPriority w:val="22"/>
    <w:qFormat/>
    <w:rPr>
      <w:b/>
      <w:bCs/>
    </w:rPr>
  </w:style>
  <w:style w:type="character" w:customStyle="1" w:styleId="text">
    <w:name w:val="text"/>
    <w:basedOn w:val="DefaultParagraphFont"/>
  </w:style>
  <w:style w:type="paragraph" w:styleId="BodyTextIndent">
    <w:name w:val="Body Text Indent"/>
    <w:basedOn w:val="Normal"/>
    <w:pPr>
      <w:autoSpaceDE/>
      <w:autoSpaceDN/>
      <w:spacing w:after="120"/>
      <w:ind w:left="360"/>
    </w:pPr>
    <w:rPr>
      <w:lang w:val="en-GB"/>
    </w:rPr>
  </w:style>
  <w:style w:type="paragraph" w:styleId="PlainText">
    <w:name w:val="Plain Text"/>
    <w:basedOn w:val="Normal"/>
    <w:rsid w:val="000F54F4"/>
    <w:pPr>
      <w:autoSpaceDE/>
      <w:autoSpaceDN/>
    </w:pPr>
    <w:rPr>
      <w:rFonts w:ascii="Courier New" w:hAnsi="Courier New" w:cs="Courier New"/>
      <w:sz w:val="20"/>
      <w:szCs w:val="20"/>
      <w:lang w:val="fr-FR" w:eastAsia="fr-FR"/>
    </w:rPr>
  </w:style>
  <w:style w:type="table" w:styleId="TableGrid">
    <w:name w:val="Table Grid"/>
    <w:basedOn w:val="TableNormal"/>
    <w:rsid w:val="00D1652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451A58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51A58"/>
    <w:rPr>
      <w:rFonts w:ascii="Tahoma" w:hAnsi="Tahoma" w:cs="Tahoma"/>
      <w:sz w:val="16"/>
      <w:szCs w:val="16"/>
    </w:rPr>
  </w:style>
  <w:style w:type="character" w:customStyle="1" w:styleId="bernard">
    <w:name w:val="bernard"/>
    <w:semiHidden/>
    <w:rsid w:val="008D16E0"/>
    <w:rPr>
      <w:rFonts w:ascii="Arial" w:hAnsi="Arial" w:cs="Arial"/>
      <w:color w:val="000080"/>
      <w:sz w:val="20"/>
      <w:szCs w:val="20"/>
    </w:rPr>
  </w:style>
  <w:style w:type="paragraph" w:styleId="ListParagraph">
    <w:name w:val="List Paragraph"/>
    <w:basedOn w:val="Normal"/>
    <w:uiPriority w:val="34"/>
    <w:qFormat/>
    <w:rsid w:val="005E5423"/>
    <w:pPr>
      <w:autoSpaceDE/>
      <w:autoSpaceDN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uiPriority w:val="99"/>
    <w:rsid w:val="008F2549"/>
    <w:rPr>
      <w:lang w:val="en-GB" w:eastAsia="en-US"/>
    </w:rPr>
  </w:style>
  <w:style w:type="paragraph" w:styleId="NormalWeb">
    <w:name w:val="Normal (Web)"/>
    <w:basedOn w:val="Normal"/>
    <w:uiPriority w:val="99"/>
    <w:unhideWhenUsed/>
    <w:rsid w:val="00E11E08"/>
    <w:pPr>
      <w:autoSpaceDE/>
      <w:autoSpaceDN/>
      <w:spacing w:before="100" w:beforeAutospacing="1" w:after="100" w:afterAutospacing="1"/>
    </w:pPr>
    <w:rPr>
      <w:lang w:val="nl-BE" w:eastAsia="nl-BE"/>
    </w:rPr>
  </w:style>
  <w:style w:type="paragraph" w:styleId="Caption">
    <w:name w:val="caption"/>
    <w:basedOn w:val="Normal"/>
    <w:next w:val="Normal"/>
    <w:uiPriority w:val="35"/>
    <w:unhideWhenUsed/>
    <w:qFormat/>
    <w:rsid w:val="009246C8"/>
    <w:pPr>
      <w:autoSpaceDE/>
      <w:autoSpaceDN/>
      <w:spacing w:after="200"/>
    </w:pPr>
    <w:rPr>
      <w:rFonts w:ascii="Calibri" w:eastAsia="Calibri" w:hAnsi="Calibri"/>
      <w:b/>
      <w:bCs/>
      <w:color w:val="4F81BD"/>
      <w:sz w:val="18"/>
      <w:szCs w:val="18"/>
      <w:lang w:val="en-GB"/>
    </w:rPr>
  </w:style>
  <w:style w:type="character" w:customStyle="1" w:styleId="FootnoteTextChar">
    <w:name w:val="Footnote Text Char"/>
    <w:link w:val="FootnoteText"/>
    <w:uiPriority w:val="99"/>
    <w:semiHidden/>
    <w:rsid w:val="009246C8"/>
    <w:rPr>
      <w:lang w:val="en-US" w:eastAsia="en-US"/>
    </w:rPr>
  </w:style>
  <w:style w:type="paragraph" w:styleId="DocumentMap">
    <w:name w:val="Document Map"/>
    <w:basedOn w:val="Normal"/>
    <w:link w:val="DocumentMapChar"/>
    <w:rsid w:val="00104F7D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rsid w:val="00104F7D"/>
    <w:rPr>
      <w:rFonts w:ascii="Tahoma" w:hAnsi="Tahoma" w:cs="Tahoma"/>
      <w:sz w:val="16"/>
      <w:szCs w:val="16"/>
      <w:lang w:val="en-US" w:eastAsia="en-US"/>
    </w:rPr>
  </w:style>
  <w:style w:type="paragraph" w:styleId="EndnoteText">
    <w:name w:val="endnote text"/>
    <w:basedOn w:val="Normal"/>
    <w:link w:val="EndnoteTextChar"/>
    <w:rsid w:val="00477B2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477B24"/>
  </w:style>
  <w:style w:type="character" w:styleId="EndnoteReference">
    <w:name w:val="endnote reference"/>
    <w:rsid w:val="00477B24"/>
    <w:rPr>
      <w:vertAlign w:val="superscript"/>
    </w:rPr>
  </w:style>
  <w:style w:type="character" w:styleId="CommentReference">
    <w:name w:val="annotation reference"/>
    <w:rsid w:val="008441F9"/>
    <w:rPr>
      <w:sz w:val="16"/>
      <w:szCs w:val="16"/>
    </w:rPr>
  </w:style>
  <w:style w:type="paragraph" w:styleId="CommentText">
    <w:name w:val="annotation text"/>
    <w:basedOn w:val="Normal"/>
    <w:link w:val="CommentTextChar"/>
    <w:rsid w:val="008441F9"/>
    <w:rPr>
      <w:sz w:val="20"/>
      <w:szCs w:val="20"/>
    </w:rPr>
  </w:style>
  <w:style w:type="character" w:customStyle="1" w:styleId="CommentTextChar">
    <w:name w:val="Comment Text Char"/>
    <w:link w:val="CommentText"/>
    <w:rsid w:val="008441F9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441F9"/>
    <w:rPr>
      <w:b/>
      <w:bCs/>
    </w:rPr>
  </w:style>
  <w:style w:type="character" w:customStyle="1" w:styleId="CommentSubjectChar">
    <w:name w:val="Comment Subject Char"/>
    <w:link w:val="CommentSubject"/>
    <w:rsid w:val="008441F9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13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6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emf"/><Relationship Id="rId42" Type="http://schemas.openxmlformats.org/officeDocument/2006/relationships/image" Target="media/image33.png"/><Relationship Id="rId47" Type="http://schemas.openxmlformats.org/officeDocument/2006/relationships/image" Target="media/image38.emf"/><Relationship Id="rId50" Type="http://schemas.openxmlformats.org/officeDocument/2006/relationships/image" Target="media/image41.png"/><Relationship Id="rId55" Type="http://schemas.openxmlformats.org/officeDocument/2006/relationships/image" Target="media/image46.emf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emf"/><Relationship Id="rId24" Type="http://schemas.openxmlformats.org/officeDocument/2006/relationships/image" Target="media/image15.png"/><Relationship Id="rId32" Type="http://schemas.openxmlformats.org/officeDocument/2006/relationships/image" Target="media/image23.emf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emf"/><Relationship Id="rId53" Type="http://schemas.openxmlformats.org/officeDocument/2006/relationships/image" Target="media/image44.pn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emf"/><Relationship Id="rId43" Type="http://schemas.openxmlformats.org/officeDocument/2006/relationships/image" Target="media/image34.emf"/><Relationship Id="rId48" Type="http://schemas.openxmlformats.org/officeDocument/2006/relationships/image" Target="media/image39.png"/><Relationship Id="rId56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image" Target="media/image42.pn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emf"/><Relationship Id="rId59" Type="http://schemas.openxmlformats.org/officeDocument/2006/relationships/theme" Target="theme/theme1.xml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emf"/><Relationship Id="rId49" Type="http://schemas.openxmlformats.org/officeDocument/2006/relationships/image" Target="media/image40.png"/><Relationship Id="rId57" Type="http://schemas.openxmlformats.org/officeDocument/2006/relationships/footer" Target="footer1.xml"/><Relationship Id="rId10" Type="http://schemas.openxmlformats.org/officeDocument/2006/relationships/hyperlink" Target="http://www.efama.org" TargetMode="External"/><Relationship Id="rId31" Type="http://schemas.openxmlformats.org/officeDocument/2006/relationships/image" Target="media/image22.png"/><Relationship Id="rId44" Type="http://schemas.openxmlformats.org/officeDocument/2006/relationships/image" Target="media/image35.emf"/><Relationship Id="rId52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91FBD-CD45-4E6E-8351-551C8541C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19</Pages>
  <Words>2294</Words>
  <Characters>11707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EFAMA</Company>
  <LinksUpToDate>false</LinksUpToDate>
  <CharactersWithSpaces>13974</CharactersWithSpaces>
  <SharedDoc>false</SharedDoc>
  <HLinks>
    <vt:vector size="6" baseType="variant">
      <vt:variant>
        <vt:i4>4587527</vt:i4>
      </vt:variant>
      <vt:variant>
        <vt:i4>3</vt:i4>
      </vt:variant>
      <vt:variant>
        <vt:i4>0</vt:i4>
      </vt:variant>
      <vt:variant>
        <vt:i4>5</vt:i4>
      </vt:variant>
      <vt:variant>
        <vt:lpwstr>http://www.efama.org/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 Delbecque</dc:creator>
  <cp:keywords/>
  <dc:description/>
  <cp:lastModifiedBy>Alex Carrol</cp:lastModifiedBy>
  <cp:revision>20</cp:revision>
  <cp:lastPrinted>2017-03-09T13:03:00Z</cp:lastPrinted>
  <dcterms:created xsi:type="dcterms:W3CDTF">2017-03-09T15:01:00Z</dcterms:created>
  <dcterms:modified xsi:type="dcterms:W3CDTF">2017-03-09T16:24:00Z</dcterms:modified>
</cp:coreProperties>
</file>