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045" w:rsidRDefault="00BE2045">
      <w:pPr>
        <w:pStyle w:val="Footer"/>
        <w:spacing w:line="360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46"/>
      </w:tblGrid>
      <w:tr w:rsidR="00BE2045" w:rsidRPr="001B65E9">
        <w:trPr>
          <w:trHeight w:val="189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45" w:rsidRPr="001B65E9" w:rsidRDefault="00BE2045">
            <w:pPr>
              <w:pStyle w:val="Footer"/>
              <w:spacing w:line="360" w:lineRule="auto"/>
              <w:jc w:val="right"/>
              <w:rPr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BE2045" w:rsidRPr="001B65E9" w:rsidRDefault="00BE2045" w:rsidP="004F702B">
            <w:pPr>
              <w:pStyle w:val="Footer"/>
              <w:spacing w:line="360" w:lineRule="auto"/>
              <w:rPr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object w:dxaOrig="5227" w:dyaOrig="28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9.75pt;height:1in" o:ole="">
                  <v:imagedata r:id="rId8" o:title=""/>
                </v:shape>
                <o:OLEObject Type="Embed" ProgID="DellImageExpertImage" ShapeID="_x0000_i1025" DrawAspect="Content" ObjectID="_1589714426" r:id="rId9"/>
              </w:object>
            </w:r>
            <w:r w:rsidR="009D5D6A">
              <w:t xml:space="preserve">                     </w:t>
            </w:r>
            <w:r>
              <w:t xml:space="preserve"> </w:t>
            </w:r>
            <w:r w:rsidR="004F702B">
              <w:t xml:space="preserve">                    </w:t>
            </w:r>
            <w:r>
              <w:rPr>
                <w:b/>
                <w:bCs/>
                <w:i/>
                <w:iCs/>
                <w:sz w:val="40"/>
                <w:szCs w:val="40"/>
                <w:lang w:val="en-US"/>
              </w:rPr>
              <w:t>Quarterly Statistical Release</w:t>
            </w:r>
            <w:r w:rsidR="009D5D6A">
              <w:t xml:space="preserve"> </w:t>
            </w:r>
            <w:r>
              <w:t xml:space="preserve"> </w:t>
            </w:r>
          </w:p>
        </w:tc>
      </w:tr>
    </w:tbl>
    <w:p w:rsidR="004B44B7" w:rsidRPr="001B65E9" w:rsidRDefault="004B44B7">
      <w:pPr>
        <w:pStyle w:val="Footer"/>
        <w:spacing w:line="360" w:lineRule="auto"/>
        <w:jc w:val="right"/>
        <w:rPr>
          <w:b/>
          <w:bCs/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E2045" w:rsidRPr="00266F40" w:rsidRDefault="00956573">
      <w:pPr>
        <w:pStyle w:val="Footer"/>
        <w:spacing w:line="360" w:lineRule="auto"/>
        <w:jc w:val="right"/>
        <w:rPr>
          <w:rFonts w:ascii="Comic Sans MS" w:hAnsi="Comic Sans MS"/>
        </w:rPr>
      </w:pPr>
      <w:r>
        <w:rPr>
          <w:b/>
          <w:bCs/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June</w:t>
      </w:r>
      <w:r w:rsidR="003F103A" w:rsidRPr="00266F40">
        <w:rPr>
          <w:b/>
          <w:bCs/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C2BB5" w:rsidRPr="00266F40">
        <w:rPr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8D01FF" w:rsidRPr="00266F40">
        <w:rPr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266F40" w:rsidRPr="00266F40">
        <w:rPr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r w:rsidR="00BE2045" w:rsidRPr="00266F40">
        <w:rPr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N° </w:t>
      </w:r>
      <w:r w:rsidR="00266F40" w:rsidRPr="00266F40">
        <w:rPr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73</w:t>
      </w:r>
    </w:p>
    <w:p w:rsidR="00BE2045" w:rsidRDefault="00BE2045" w:rsidP="00104F7D">
      <w:pPr>
        <w:pStyle w:val="Footer"/>
        <w:jc w:val="right"/>
        <w:outlineLvl w:val="0"/>
        <w:rPr>
          <w:b/>
          <w:bCs/>
          <w:i/>
          <w:iCs/>
          <w:sz w:val="18"/>
          <w:szCs w:val="18"/>
          <w:lang w:val="en-US"/>
        </w:rPr>
      </w:pPr>
      <w:r>
        <w:rPr>
          <w:b/>
          <w:bCs/>
          <w:i/>
          <w:iCs/>
          <w:sz w:val="18"/>
          <w:szCs w:val="18"/>
          <w:lang w:val="en-US"/>
        </w:rPr>
        <w:t>This release and other statistical</w:t>
      </w:r>
    </w:p>
    <w:p w:rsidR="00BE2045" w:rsidRDefault="00F652C2">
      <w:pPr>
        <w:pStyle w:val="Footer"/>
        <w:jc w:val="right"/>
        <w:rPr>
          <w:b/>
          <w:bCs/>
          <w:i/>
          <w:iCs/>
          <w:sz w:val="18"/>
          <w:szCs w:val="18"/>
          <w:lang w:val="en-US"/>
        </w:rPr>
      </w:pPr>
      <w:proofErr w:type="gramStart"/>
      <w:r>
        <w:rPr>
          <w:b/>
          <w:bCs/>
          <w:i/>
          <w:iCs/>
          <w:sz w:val="18"/>
          <w:szCs w:val="18"/>
          <w:lang w:val="en-US"/>
        </w:rPr>
        <w:t>releases</w:t>
      </w:r>
      <w:proofErr w:type="gramEnd"/>
      <w:r>
        <w:rPr>
          <w:b/>
          <w:bCs/>
          <w:i/>
          <w:iCs/>
          <w:sz w:val="18"/>
          <w:szCs w:val="18"/>
          <w:lang w:val="en-US"/>
        </w:rPr>
        <w:t xml:space="preserve"> are available on </w:t>
      </w:r>
      <w:proofErr w:type="spellStart"/>
      <w:r>
        <w:rPr>
          <w:b/>
          <w:bCs/>
          <w:i/>
          <w:iCs/>
          <w:sz w:val="18"/>
          <w:szCs w:val="18"/>
          <w:lang w:val="en-US"/>
        </w:rPr>
        <w:t>E</w:t>
      </w:r>
      <w:r w:rsidR="00BE2045">
        <w:rPr>
          <w:b/>
          <w:bCs/>
          <w:i/>
          <w:iCs/>
          <w:sz w:val="18"/>
          <w:szCs w:val="18"/>
          <w:lang w:val="en-US"/>
        </w:rPr>
        <w:t>fama’s</w:t>
      </w:r>
      <w:proofErr w:type="spellEnd"/>
    </w:p>
    <w:p w:rsidR="00BE2045" w:rsidRDefault="00BE2045">
      <w:pPr>
        <w:pStyle w:val="Footer"/>
        <w:jc w:val="right"/>
        <w:rPr>
          <w:b/>
          <w:bCs/>
          <w:i/>
          <w:iCs/>
          <w:sz w:val="18"/>
          <w:szCs w:val="18"/>
          <w:lang w:val="en-US"/>
        </w:rPr>
      </w:pPr>
      <w:proofErr w:type="gramStart"/>
      <w:r>
        <w:rPr>
          <w:b/>
          <w:bCs/>
          <w:i/>
          <w:iCs/>
          <w:sz w:val="18"/>
          <w:szCs w:val="18"/>
          <w:lang w:val="en-US"/>
        </w:rPr>
        <w:t>website</w:t>
      </w:r>
      <w:proofErr w:type="gramEnd"/>
      <w:r>
        <w:rPr>
          <w:b/>
          <w:bCs/>
          <w:i/>
          <w:iCs/>
          <w:sz w:val="18"/>
          <w:szCs w:val="18"/>
          <w:lang w:val="en-US"/>
        </w:rPr>
        <w:t xml:space="preserve"> (</w:t>
      </w:r>
      <w:hyperlink r:id="rId10" w:history="1">
        <w:r>
          <w:rPr>
            <w:rStyle w:val="Hyperlink"/>
            <w:b/>
            <w:bCs/>
            <w:i/>
            <w:iCs/>
            <w:sz w:val="18"/>
            <w:szCs w:val="18"/>
          </w:rPr>
          <w:t>www.efama.org</w:t>
        </w:r>
      </w:hyperlink>
      <w:r>
        <w:rPr>
          <w:b/>
          <w:bCs/>
          <w:i/>
          <w:iCs/>
          <w:sz w:val="18"/>
          <w:szCs w:val="18"/>
          <w:lang w:val="en-US"/>
        </w:rPr>
        <w:t>)</w:t>
      </w:r>
    </w:p>
    <w:p w:rsidR="00BE2045" w:rsidRDefault="00BE2045">
      <w:pPr>
        <w:pStyle w:val="Footer"/>
        <w:rPr>
          <w:b/>
          <w:bCs/>
          <w:i/>
          <w:iCs/>
          <w:sz w:val="18"/>
          <w:szCs w:val="18"/>
          <w:lang w:val="en-US"/>
        </w:rPr>
      </w:pPr>
    </w:p>
    <w:p w:rsidR="00BE2045" w:rsidRDefault="00BE2045">
      <w:pPr>
        <w:pStyle w:val="Footer"/>
        <w:jc w:val="center"/>
        <w:rPr>
          <w:b/>
          <w:bCs/>
          <w:sz w:val="18"/>
          <w:szCs w:val="18"/>
          <w:lang w:val="en-US"/>
        </w:rPr>
      </w:pPr>
    </w:p>
    <w:p w:rsidR="00BE2045" w:rsidRDefault="00BE2045">
      <w:pPr>
        <w:pStyle w:val="Footer"/>
        <w:jc w:val="center"/>
        <w:rPr>
          <w:b/>
          <w:bCs/>
          <w:sz w:val="18"/>
          <w:szCs w:val="18"/>
          <w:lang w:val="en-US"/>
        </w:rPr>
      </w:pPr>
    </w:p>
    <w:p w:rsidR="00BE2045" w:rsidRDefault="00BE2045">
      <w:pPr>
        <w:pStyle w:val="Footer"/>
        <w:jc w:val="center"/>
        <w:rPr>
          <w:b/>
          <w:bCs/>
          <w:sz w:val="40"/>
          <w:szCs w:val="18"/>
          <w:lang w:val="en-US"/>
        </w:rPr>
      </w:pPr>
    </w:p>
    <w:p w:rsidR="00BE2045" w:rsidRDefault="00BE2045" w:rsidP="00340C4D">
      <w:pPr>
        <w:pStyle w:val="Footer"/>
        <w:rPr>
          <w:b/>
          <w:bCs/>
          <w:sz w:val="40"/>
          <w:szCs w:val="18"/>
          <w:lang w:val="en-US"/>
        </w:rPr>
      </w:pPr>
    </w:p>
    <w:p w:rsidR="00340C4D" w:rsidRDefault="00340C4D" w:rsidP="00340C4D">
      <w:pPr>
        <w:pStyle w:val="Footer"/>
        <w:rPr>
          <w:b/>
          <w:bCs/>
          <w:sz w:val="18"/>
          <w:szCs w:val="18"/>
          <w:lang w:val="en-US"/>
        </w:rPr>
      </w:pPr>
    </w:p>
    <w:p w:rsidR="00495840" w:rsidRDefault="00495840">
      <w:pPr>
        <w:pStyle w:val="Footer"/>
        <w:jc w:val="center"/>
        <w:rPr>
          <w:b/>
          <w:bCs/>
          <w:sz w:val="18"/>
          <w:szCs w:val="18"/>
          <w:lang w:val="en-US"/>
        </w:rPr>
      </w:pPr>
    </w:p>
    <w:p w:rsidR="00BE2045" w:rsidRDefault="00BE2045">
      <w:pPr>
        <w:pStyle w:val="Footer"/>
        <w:jc w:val="center"/>
        <w:rPr>
          <w:b/>
          <w:bCs/>
          <w:sz w:val="18"/>
          <w:szCs w:val="18"/>
          <w:lang w:val="en-US"/>
        </w:rPr>
      </w:pPr>
    </w:p>
    <w:p w:rsidR="00E31FD0" w:rsidRDefault="00E31FD0">
      <w:pPr>
        <w:pStyle w:val="Footer"/>
        <w:jc w:val="center"/>
        <w:rPr>
          <w:b/>
          <w:bCs/>
          <w:sz w:val="18"/>
          <w:szCs w:val="18"/>
          <w:lang w:val="en-US"/>
        </w:rPr>
      </w:pPr>
    </w:p>
    <w:p w:rsidR="00887A60" w:rsidRDefault="00887A60">
      <w:pPr>
        <w:pStyle w:val="Footer"/>
        <w:jc w:val="center"/>
        <w:rPr>
          <w:b/>
          <w:bCs/>
          <w:sz w:val="18"/>
          <w:szCs w:val="18"/>
          <w:lang w:val="en-US"/>
        </w:rPr>
      </w:pPr>
    </w:p>
    <w:p w:rsidR="00BE2045" w:rsidRDefault="00BE2045">
      <w:pPr>
        <w:pStyle w:val="Footer"/>
        <w:jc w:val="center"/>
        <w:rPr>
          <w:b/>
          <w:bCs/>
          <w:sz w:val="18"/>
          <w:szCs w:val="18"/>
          <w:lang w:val="en-US"/>
        </w:rPr>
      </w:pPr>
    </w:p>
    <w:p w:rsidR="00BE2045" w:rsidRDefault="00BE2045" w:rsidP="00104F7D">
      <w:pPr>
        <w:pStyle w:val="Footer"/>
        <w:jc w:val="center"/>
        <w:outlineLvl w:val="0"/>
        <w:rPr>
          <w:b/>
          <w:bCs/>
          <w:i/>
          <w:iCs/>
          <w:sz w:val="40"/>
          <w:szCs w:val="40"/>
          <w:lang w:val="en-US"/>
        </w:rPr>
      </w:pPr>
      <w:r>
        <w:rPr>
          <w:b/>
          <w:bCs/>
          <w:i/>
          <w:iCs/>
          <w:sz w:val="40"/>
          <w:szCs w:val="40"/>
          <w:lang w:val="en-US"/>
        </w:rPr>
        <w:t>Trends in the European Investment Fund Industry</w:t>
      </w:r>
    </w:p>
    <w:p w:rsidR="00BE2045" w:rsidRDefault="00BE2045">
      <w:pPr>
        <w:pStyle w:val="Footer"/>
        <w:jc w:val="center"/>
        <w:rPr>
          <w:b/>
          <w:bCs/>
          <w:i/>
          <w:iCs/>
          <w:sz w:val="40"/>
          <w:szCs w:val="40"/>
          <w:lang w:val="en-US"/>
        </w:rPr>
      </w:pPr>
    </w:p>
    <w:p w:rsidR="008F2549" w:rsidRDefault="002C628C" w:rsidP="008F2549">
      <w:pPr>
        <w:pStyle w:val="Footer"/>
        <w:jc w:val="center"/>
        <w:rPr>
          <w:b/>
          <w:bCs/>
          <w:i/>
          <w:iCs/>
          <w:sz w:val="40"/>
          <w:szCs w:val="40"/>
          <w:lang w:val="en-US"/>
        </w:rPr>
      </w:pPr>
      <w:proofErr w:type="gramStart"/>
      <w:r>
        <w:rPr>
          <w:b/>
          <w:bCs/>
          <w:i/>
          <w:iCs/>
          <w:sz w:val="40"/>
          <w:szCs w:val="40"/>
          <w:lang w:val="en-US"/>
        </w:rPr>
        <w:t>in</w:t>
      </w:r>
      <w:proofErr w:type="gramEnd"/>
      <w:r w:rsidR="00F81F78">
        <w:rPr>
          <w:b/>
          <w:bCs/>
          <w:i/>
          <w:iCs/>
          <w:sz w:val="40"/>
          <w:szCs w:val="40"/>
          <w:lang w:val="en-US"/>
        </w:rPr>
        <w:t xml:space="preserve"> the </w:t>
      </w:r>
      <w:r w:rsidR="00FC4C01">
        <w:rPr>
          <w:b/>
          <w:bCs/>
          <w:i/>
          <w:iCs/>
          <w:sz w:val="40"/>
          <w:szCs w:val="40"/>
          <w:lang w:val="en-US"/>
        </w:rPr>
        <w:t>First Quarter of 2018</w:t>
      </w:r>
    </w:p>
    <w:p w:rsidR="009A23FA" w:rsidRDefault="009A23FA" w:rsidP="008F2549">
      <w:pPr>
        <w:pStyle w:val="Footer"/>
        <w:jc w:val="center"/>
        <w:rPr>
          <w:b/>
          <w:bCs/>
          <w:i/>
          <w:iCs/>
          <w:sz w:val="40"/>
          <w:szCs w:val="40"/>
          <w:lang w:val="en-US"/>
        </w:rPr>
      </w:pPr>
    </w:p>
    <w:p w:rsidR="00767566" w:rsidRDefault="00767566" w:rsidP="008F2549">
      <w:pPr>
        <w:pStyle w:val="Footer"/>
        <w:jc w:val="center"/>
        <w:rPr>
          <w:b/>
          <w:bCs/>
          <w:i/>
          <w:iCs/>
          <w:sz w:val="40"/>
          <w:szCs w:val="40"/>
          <w:lang w:val="en-US"/>
        </w:rPr>
      </w:pPr>
    </w:p>
    <w:p w:rsidR="00AC73EA" w:rsidRDefault="00AC73EA" w:rsidP="008F2549">
      <w:pPr>
        <w:pStyle w:val="Footer"/>
        <w:jc w:val="center"/>
        <w:rPr>
          <w:b/>
          <w:bCs/>
          <w:i/>
          <w:iCs/>
          <w:sz w:val="40"/>
          <w:szCs w:val="40"/>
          <w:lang w:val="en-US"/>
        </w:rPr>
      </w:pPr>
    </w:p>
    <w:p w:rsidR="00C31FBE" w:rsidRDefault="00C31FBE" w:rsidP="008F2549">
      <w:pPr>
        <w:pStyle w:val="Footer"/>
        <w:jc w:val="center"/>
        <w:rPr>
          <w:b/>
          <w:bCs/>
          <w:i/>
          <w:iCs/>
          <w:sz w:val="40"/>
          <w:szCs w:val="40"/>
          <w:lang w:val="en-US"/>
        </w:rPr>
      </w:pPr>
    </w:p>
    <w:p w:rsidR="00DA0EDA" w:rsidRDefault="00DA0EDA" w:rsidP="008F2549">
      <w:pPr>
        <w:pStyle w:val="Footer"/>
        <w:jc w:val="center"/>
        <w:rPr>
          <w:b/>
          <w:bCs/>
          <w:i/>
          <w:iCs/>
          <w:sz w:val="40"/>
          <w:szCs w:val="40"/>
          <w:lang w:val="en-US"/>
        </w:rPr>
      </w:pPr>
    </w:p>
    <w:p w:rsidR="005A704F" w:rsidRDefault="005A704F" w:rsidP="007C0E28">
      <w:pPr>
        <w:pStyle w:val="Footer"/>
        <w:jc w:val="center"/>
        <w:rPr>
          <w:b/>
          <w:bCs/>
          <w:i/>
          <w:iCs/>
          <w:sz w:val="40"/>
          <w:szCs w:val="40"/>
          <w:lang w:val="en-US"/>
        </w:rPr>
      </w:pPr>
    </w:p>
    <w:p w:rsidR="008516E2" w:rsidRDefault="008516E2">
      <w:pPr>
        <w:pStyle w:val="Footer"/>
        <w:jc w:val="center"/>
        <w:rPr>
          <w:b/>
          <w:bCs/>
          <w:i/>
          <w:iCs/>
          <w:sz w:val="40"/>
          <w:szCs w:val="40"/>
          <w:lang w:val="en-US"/>
        </w:rPr>
      </w:pPr>
    </w:p>
    <w:p w:rsidR="00BA0A3A" w:rsidRDefault="00BA0A3A">
      <w:pPr>
        <w:pStyle w:val="Footer"/>
        <w:jc w:val="center"/>
        <w:rPr>
          <w:b/>
          <w:bCs/>
          <w:i/>
          <w:iCs/>
          <w:sz w:val="40"/>
          <w:szCs w:val="40"/>
          <w:lang w:val="en-US"/>
        </w:rPr>
      </w:pPr>
    </w:p>
    <w:p w:rsidR="00AC73EA" w:rsidRDefault="00AC73EA">
      <w:pPr>
        <w:pStyle w:val="Footer"/>
        <w:jc w:val="center"/>
        <w:rPr>
          <w:b/>
          <w:bCs/>
          <w:i/>
          <w:iCs/>
          <w:sz w:val="40"/>
          <w:szCs w:val="40"/>
          <w:lang w:val="en-US"/>
        </w:rPr>
      </w:pPr>
    </w:p>
    <w:p w:rsidR="008516E2" w:rsidRDefault="008516E2">
      <w:pPr>
        <w:pStyle w:val="Footer"/>
        <w:jc w:val="center"/>
        <w:rPr>
          <w:b/>
          <w:bCs/>
          <w:i/>
          <w:iCs/>
          <w:sz w:val="40"/>
          <w:szCs w:val="40"/>
          <w:lang w:val="en-US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BE2045" w:rsidRPr="00DD12A5">
        <w:trPr>
          <w:trHeight w:val="161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45" w:rsidRDefault="00BE2045">
            <w:pPr>
              <w:pStyle w:val="Footer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  <w:p w:rsidR="00BE2045" w:rsidRDefault="00BE2045">
            <w:pPr>
              <w:pStyle w:val="Footer"/>
              <w:jc w:val="center"/>
              <w:rPr>
                <w:b/>
                <w:bCs/>
                <w:sz w:val="18"/>
                <w:szCs w:val="16"/>
                <w:lang w:val="en-US"/>
              </w:rPr>
            </w:pPr>
            <w:r>
              <w:rPr>
                <w:b/>
                <w:bCs/>
                <w:sz w:val="18"/>
                <w:szCs w:val="16"/>
                <w:lang w:val="en-US"/>
              </w:rPr>
              <w:t xml:space="preserve">This report was prepared by </w:t>
            </w:r>
            <w:r w:rsidR="005C0ED8">
              <w:rPr>
                <w:b/>
                <w:bCs/>
                <w:sz w:val="18"/>
                <w:szCs w:val="16"/>
                <w:lang w:val="en-US"/>
              </w:rPr>
              <w:t>Bernard Delbecque and Thomas Tilley</w:t>
            </w:r>
          </w:p>
          <w:p w:rsidR="00BE2045" w:rsidRDefault="001B65E9">
            <w:pPr>
              <w:pStyle w:val="Footer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noProof/>
                <w:szCs w:val="16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47625</wp:posOffset>
                      </wp:positionV>
                      <wp:extent cx="5038725" cy="0"/>
                      <wp:effectExtent l="0" t="0" r="0" b="0"/>
                      <wp:wrapSquare wrapText="bothSides"/>
                      <wp:docPr id="1" name="Lin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0387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4AE0FE" id="Line 43" o:spid="_x0000_s1026" style="position:absolute;flip:y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25pt,3.75pt" to="429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">
                      <w10:wrap type="square"/>
                    </v:line>
                  </w:pict>
                </mc:Fallback>
              </mc:AlternateContent>
            </w:r>
          </w:p>
          <w:p w:rsidR="00BE2045" w:rsidRDefault="00BE2045">
            <w:pPr>
              <w:pStyle w:val="Footer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EFAMA</w:t>
            </w:r>
          </w:p>
          <w:p w:rsidR="00BE2045" w:rsidRDefault="00BE2045">
            <w:pPr>
              <w:pStyle w:val="Footer"/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The European Fund and Asset Management Association</w:t>
            </w:r>
          </w:p>
          <w:p w:rsidR="00BE2045" w:rsidRDefault="00BE2045">
            <w:pPr>
              <w:pStyle w:val="Footer"/>
              <w:jc w:val="both"/>
              <w:rPr>
                <w:b/>
                <w:bCs/>
                <w:sz w:val="18"/>
                <w:szCs w:val="16"/>
                <w:lang w:val="en-US"/>
              </w:rPr>
            </w:pPr>
          </w:p>
          <w:p w:rsidR="00BE2045" w:rsidRPr="001B65E9" w:rsidRDefault="00495840">
            <w:pPr>
              <w:pStyle w:val="Footer"/>
              <w:spacing w:line="360" w:lineRule="auto"/>
              <w:jc w:val="center"/>
              <w:rPr>
                <w:b/>
                <w:bCs/>
                <w:sz w:val="18"/>
                <w:szCs w:val="24"/>
                <w:lang w:val="fr-B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8"/>
                <w:szCs w:val="16"/>
                <w:lang w:val="fr-BE"/>
              </w:rPr>
              <w:t xml:space="preserve">Rue </w:t>
            </w:r>
            <w:proofErr w:type="spellStart"/>
            <w:r>
              <w:rPr>
                <w:b/>
                <w:bCs/>
                <w:sz w:val="18"/>
                <w:szCs w:val="16"/>
                <w:lang w:val="fr-BE"/>
              </w:rPr>
              <w:t>Montoyer</w:t>
            </w:r>
            <w:proofErr w:type="spellEnd"/>
            <w:r>
              <w:rPr>
                <w:b/>
                <w:bCs/>
                <w:sz w:val="18"/>
                <w:szCs w:val="16"/>
                <w:lang w:val="fr-BE"/>
              </w:rPr>
              <w:t xml:space="preserve"> 47 - B-100</w:t>
            </w:r>
            <w:r w:rsidR="00BE2045">
              <w:rPr>
                <w:b/>
                <w:bCs/>
                <w:sz w:val="18"/>
                <w:szCs w:val="16"/>
                <w:lang w:val="fr-BE"/>
              </w:rPr>
              <w:t>0 BRUXELLES - Tel. 32-2-513.39.69 Fax: 32-2-513.26.43 - e-mail: info@efama.org</w:t>
            </w:r>
          </w:p>
        </w:tc>
      </w:tr>
    </w:tbl>
    <w:p w:rsidR="00F60EEC" w:rsidRPr="00FF66E2" w:rsidRDefault="00F60EEC">
      <w:pPr>
        <w:pStyle w:val="Footer"/>
        <w:spacing w:line="360" w:lineRule="auto"/>
        <w:rPr>
          <w:lang w:val="fr-BE"/>
        </w:rPr>
      </w:pPr>
    </w:p>
    <w:p w:rsidR="00321FA6" w:rsidRPr="001B65E9" w:rsidRDefault="00AC73EA" w:rsidP="00321FA6">
      <w:pPr>
        <w:pStyle w:val="Footer"/>
        <w:jc w:val="cen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D12A5">
        <w:rPr>
          <w:b/>
          <w:bCs/>
          <w:sz w:val="28"/>
          <w:szCs w:val="28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  <w:r w:rsidR="00321FA6" w:rsidRPr="001B65E9"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Trends in the UCITS Market</w:t>
      </w:r>
    </w:p>
    <w:p w:rsidR="00321FA6" w:rsidRPr="001B65E9" w:rsidRDefault="00321FA6" w:rsidP="00321FA6">
      <w:pPr>
        <w:pStyle w:val="Footer"/>
        <w:jc w:val="center"/>
        <w:outlineLvl w:val="0"/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B65E9"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Net Sales by Investment Type</w:t>
      </w:r>
    </w:p>
    <w:p w:rsidR="00321FA6" w:rsidRDefault="00321FA6" w:rsidP="00321FA6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sz w:val="22"/>
          <w:szCs w:val="22"/>
          <w:lang w:val="en-US"/>
        </w:rPr>
      </w:pPr>
    </w:p>
    <w:p w:rsidR="00321FA6" w:rsidRDefault="00321FA6" w:rsidP="00321FA6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b/>
          <w:bCs/>
          <w:color w:val="0000FF"/>
          <w:sz w:val="22"/>
          <w:szCs w:val="22"/>
          <w:lang w:val="en-US"/>
        </w:rPr>
      </w:pPr>
      <w:r>
        <w:rPr>
          <w:b/>
          <w:bCs/>
          <w:color w:val="0000FF"/>
          <w:sz w:val="22"/>
          <w:szCs w:val="22"/>
          <w:lang w:val="en-US"/>
        </w:rPr>
        <w:t xml:space="preserve">UCITS </w:t>
      </w:r>
      <w:r w:rsidR="00235A51">
        <w:rPr>
          <w:b/>
          <w:bCs/>
          <w:color w:val="0000FF"/>
          <w:sz w:val="22"/>
          <w:szCs w:val="22"/>
          <w:lang w:val="en-US"/>
        </w:rPr>
        <w:t>recorded</w:t>
      </w:r>
      <w:r>
        <w:rPr>
          <w:b/>
          <w:bCs/>
          <w:color w:val="0000FF"/>
          <w:sz w:val="22"/>
          <w:szCs w:val="22"/>
          <w:lang w:val="en-US"/>
        </w:rPr>
        <w:t xml:space="preserve"> net </w:t>
      </w:r>
      <w:r w:rsidR="00FF66E2">
        <w:rPr>
          <w:b/>
          <w:bCs/>
          <w:color w:val="0000FF"/>
          <w:sz w:val="22"/>
          <w:szCs w:val="22"/>
          <w:lang w:val="en-US"/>
        </w:rPr>
        <w:t xml:space="preserve">inflows of </w:t>
      </w:r>
      <w:r>
        <w:rPr>
          <w:b/>
          <w:bCs/>
          <w:color w:val="0000FF"/>
          <w:sz w:val="22"/>
          <w:szCs w:val="22"/>
          <w:lang w:val="en-US"/>
        </w:rPr>
        <w:t xml:space="preserve">EUR </w:t>
      </w:r>
      <w:r w:rsidR="009D2541">
        <w:rPr>
          <w:b/>
          <w:bCs/>
          <w:color w:val="0000FF"/>
          <w:sz w:val="22"/>
          <w:szCs w:val="22"/>
          <w:lang w:val="en-US"/>
        </w:rPr>
        <w:t>171</w:t>
      </w:r>
      <w:r w:rsidR="00235C1D">
        <w:rPr>
          <w:b/>
          <w:bCs/>
          <w:color w:val="0000FF"/>
          <w:sz w:val="22"/>
          <w:szCs w:val="22"/>
          <w:lang w:val="en-US"/>
        </w:rPr>
        <w:t xml:space="preserve"> </w:t>
      </w:r>
      <w:r w:rsidR="00FF66E2">
        <w:rPr>
          <w:b/>
          <w:bCs/>
          <w:color w:val="0000FF"/>
          <w:sz w:val="22"/>
          <w:szCs w:val="22"/>
          <w:lang w:val="en-US"/>
        </w:rPr>
        <w:t xml:space="preserve">billion </w:t>
      </w:r>
      <w:r w:rsidR="00956573">
        <w:rPr>
          <w:b/>
          <w:bCs/>
          <w:color w:val="0000FF"/>
          <w:sz w:val="22"/>
          <w:szCs w:val="22"/>
          <w:lang w:val="en-US"/>
        </w:rPr>
        <w:t xml:space="preserve">in </w:t>
      </w:r>
      <w:r w:rsidR="009D2541">
        <w:rPr>
          <w:b/>
          <w:bCs/>
          <w:color w:val="0000FF"/>
          <w:sz w:val="22"/>
          <w:szCs w:val="22"/>
          <w:lang w:val="en-US"/>
        </w:rPr>
        <w:t>Q1 2018</w:t>
      </w:r>
      <w:r w:rsidR="00831CEF">
        <w:rPr>
          <w:b/>
          <w:bCs/>
          <w:color w:val="0000FF"/>
          <w:sz w:val="22"/>
          <w:szCs w:val="22"/>
          <w:lang w:val="en-US"/>
        </w:rPr>
        <w:t xml:space="preserve">, </w:t>
      </w:r>
      <w:r w:rsidR="00795DA0">
        <w:rPr>
          <w:b/>
          <w:bCs/>
          <w:color w:val="0000FF"/>
          <w:sz w:val="22"/>
          <w:szCs w:val="22"/>
          <w:lang w:val="en-US"/>
        </w:rPr>
        <w:t xml:space="preserve">of which EUR 126 billion were recorded </w:t>
      </w:r>
      <w:r w:rsidR="004344E7">
        <w:rPr>
          <w:b/>
          <w:bCs/>
          <w:color w:val="0000FF"/>
          <w:sz w:val="22"/>
          <w:szCs w:val="22"/>
          <w:lang w:val="en-US"/>
        </w:rPr>
        <w:t>in January</w:t>
      </w:r>
      <w:r w:rsidR="00795DA0">
        <w:rPr>
          <w:b/>
          <w:bCs/>
          <w:color w:val="0000FF"/>
          <w:sz w:val="22"/>
          <w:szCs w:val="22"/>
          <w:lang w:val="en-US"/>
        </w:rPr>
        <w:t xml:space="preserve">. </w:t>
      </w:r>
    </w:p>
    <w:p w:rsidR="00DD12A5" w:rsidRDefault="00DD12A5" w:rsidP="00321FA6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b/>
          <w:bCs/>
          <w:color w:val="0000FF"/>
          <w:sz w:val="22"/>
          <w:szCs w:val="22"/>
        </w:rPr>
      </w:pPr>
    </w:p>
    <w:p w:rsidR="00321FA6" w:rsidRDefault="00321FA6" w:rsidP="00321FA6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bCs/>
          <w:color w:val="000000"/>
          <w:sz w:val="22"/>
          <w:szCs w:val="22"/>
        </w:rPr>
      </w:pPr>
      <w:r w:rsidRPr="007D3A6C">
        <w:rPr>
          <w:bCs/>
          <w:color w:val="000000"/>
          <w:sz w:val="22"/>
          <w:szCs w:val="22"/>
        </w:rPr>
        <w:t xml:space="preserve">Long-term UCITS </w:t>
      </w:r>
      <w:r w:rsidR="00F2020F">
        <w:rPr>
          <w:bCs/>
          <w:color w:val="000000"/>
          <w:sz w:val="22"/>
          <w:szCs w:val="22"/>
        </w:rPr>
        <w:t>recorded net</w:t>
      </w:r>
      <w:r w:rsidR="00831CEF">
        <w:rPr>
          <w:bCs/>
          <w:color w:val="000000"/>
          <w:sz w:val="22"/>
          <w:szCs w:val="22"/>
        </w:rPr>
        <w:t xml:space="preserve"> inflows of EUR </w:t>
      </w:r>
      <w:r w:rsidR="009D2541">
        <w:rPr>
          <w:bCs/>
          <w:color w:val="000000"/>
          <w:sz w:val="22"/>
          <w:szCs w:val="22"/>
        </w:rPr>
        <w:t>17</w:t>
      </w:r>
      <w:r w:rsidR="00EF27A1">
        <w:rPr>
          <w:bCs/>
          <w:color w:val="000000"/>
          <w:sz w:val="22"/>
          <w:szCs w:val="22"/>
        </w:rPr>
        <w:t>3</w:t>
      </w:r>
      <w:r w:rsidR="00235C1D">
        <w:rPr>
          <w:bCs/>
          <w:color w:val="000000"/>
          <w:sz w:val="22"/>
          <w:szCs w:val="22"/>
        </w:rPr>
        <w:t xml:space="preserve"> </w:t>
      </w:r>
      <w:r w:rsidR="004C06E4">
        <w:rPr>
          <w:bCs/>
          <w:color w:val="000000"/>
          <w:sz w:val="22"/>
          <w:szCs w:val="22"/>
        </w:rPr>
        <w:t>billion</w:t>
      </w:r>
      <w:r w:rsidR="00B007D8">
        <w:rPr>
          <w:bCs/>
          <w:color w:val="000000"/>
          <w:sz w:val="22"/>
          <w:szCs w:val="22"/>
        </w:rPr>
        <w:t xml:space="preserve"> in </w:t>
      </w:r>
      <w:r w:rsidR="00235C1D">
        <w:rPr>
          <w:bCs/>
          <w:color w:val="000000"/>
          <w:sz w:val="22"/>
          <w:szCs w:val="22"/>
        </w:rPr>
        <w:t xml:space="preserve">Q1 </w:t>
      </w:r>
      <w:r w:rsidR="00235C1D" w:rsidRPr="00A7353F">
        <w:rPr>
          <w:bCs/>
          <w:color w:val="000000"/>
          <w:sz w:val="22"/>
          <w:szCs w:val="22"/>
        </w:rPr>
        <w:t>201</w:t>
      </w:r>
      <w:r w:rsidR="009D2541">
        <w:rPr>
          <w:bCs/>
          <w:color w:val="000000"/>
          <w:sz w:val="22"/>
          <w:szCs w:val="22"/>
        </w:rPr>
        <w:t>8</w:t>
      </w:r>
      <w:r w:rsidRPr="00A7353F">
        <w:rPr>
          <w:bCs/>
          <w:color w:val="000000"/>
          <w:sz w:val="22"/>
          <w:szCs w:val="22"/>
        </w:rPr>
        <w:t xml:space="preserve">, </w:t>
      </w:r>
      <w:r w:rsidR="004A26B7">
        <w:rPr>
          <w:bCs/>
          <w:color w:val="000000"/>
          <w:sz w:val="22"/>
          <w:szCs w:val="22"/>
        </w:rPr>
        <w:t>exactly the same amount as in</w:t>
      </w:r>
      <w:r w:rsidRPr="00A7353F">
        <w:rPr>
          <w:bCs/>
          <w:color w:val="000000"/>
          <w:sz w:val="22"/>
          <w:szCs w:val="22"/>
        </w:rPr>
        <w:t xml:space="preserve"> </w:t>
      </w:r>
      <w:r w:rsidR="00235C1D">
        <w:rPr>
          <w:bCs/>
          <w:color w:val="000000"/>
          <w:sz w:val="22"/>
          <w:szCs w:val="22"/>
        </w:rPr>
        <w:t>Q4</w:t>
      </w:r>
      <w:r w:rsidR="00235C1D" w:rsidRPr="00A7353F">
        <w:rPr>
          <w:bCs/>
          <w:color w:val="000000"/>
          <w:sz w:val="22"/>
          <w:szCs w:val="22"/>
        </w:rPr>
        <w:t xml:space="preserve"> </w:t>
      </w:r>
      <w:r w:rsidRPr="00A7353F">
        <w:rPr>
          <w:bCs/>
          <w:color w:val="000000"/>
          <w:sz w:val="22"/>
          <w:szCs w:val="22"/>
        </w:rPr>
        <w:t>201</w:t>
      </w:r>
      <w:r w:rsidR="009D2541">
        <w:rPr>
          <w:bCs/>
          <w:color w:val="000000"/>
          <w:sz w:val="22"/>
          <w:szCs w:val="22"/>
        </w:rPr>
        <w:t>7</w:t>
      </w:r>
      <w:r w:rsidRPr="00A7353F">
        <w:rPr>
          <w:bCs/>
          <w:color w:val="000000"/>
          <w:sz w:val="22"/>
          <w:szCs w:val="22"/>
        </w:rPr>
        <w:t xml:space="preserve">. </w:t>
      </w:r>
      <w:r w:rsidR="00831CEF">
        <w:rPr>
          <w:bCs/>
          <w:color w:val="000000"/>
          <w:sz w:val="22"/>
          <w:szCs w:val="22"/>
        </w:rPr>
        <w:t xml:space="preserve">Net sales of equity funds amounted to EUR </w:t>
      </w:r>
      <w:r w:rsidR="007161EB">
        <w:rPr>
          <w:bCs/>
          <w:color w:val="000000"/>
          <w:sz w:val="22"/>
          <w:szCs w:val="22"/>
        </w:rPr>
        <w:t>85</w:t>
      </w:r>
      <w:r w:rsidR="00235C1D">
        <w:rPr>
          <w:bCs/>
          <w:color w:val="000000"/>
          <w:sz w:val="22"/>
          <w:szCs w:val="22"/>
        </w:rPr>
        <w:t xml:space="preserve"> </w:t>
      </w:r>
      <w:r w:rsidR="00831CEF">
        <w:rPr>
          <w:bCs/>
          <w:color w:val="000000"/>
          <w:sz w:val="22"/>
          <w:szCs w:val="22"/>
        </w:rPr>
        <w:t xml:space="preserve">billion, </w:t>
      </w:r>
      <w:r w:rsidR="00235C1D">
        <w:rPr>
          <w:bCs/>
          <w:color w:val="000000"/>
          <w:sz w:val="22"/>
          <w:szCs w:val="22"/>
        </w:rPr>
        <w:t>up from</w:t>
      </w:r>
      <w:r w:rsidR="00831CEF">
        <w:rPr>
          <w:bCs/>
          <w:color w:val="000000"/>
          <w:sz w:val="22"/>
          <w:szCs w:val="22"/>
        </w:rPr>
        <w:t xml:space="preserve"> EUR </w:t>
      </w:r>
      <w:r w:rsidR="007161EB">
        <w:rPr>
          <w:bCs/>
          <w:color w:val="000000"/>
          <w:sz w:val="22"/>
          <w:szCs w:val="22"/>
        </w:rPr>
        <w:t>56</w:t>
      </w:r>
      <w:r w:rsidR="00235C1D">
        <w:rPr>
          <w:bCs/>
          <w:color w:val="000000"/>
          <w:sz w:val="22"/>
          <w:szCs w:val="22"/>
        </w:rPr>
        <w:t xml:space="preserve"> </w:t>
      </w:r>
      <w:r w:rsidR="00831CEF">
        <w:rPr>
          <w:bCs/>
          <w:color w:val="000000"/>
          <w:sz w:val="22"/>
          <w:szCs w:val="22"/>
        </w:rPr>
        <w:t xml:space="preserve">billion in </w:t>
      </w:r>
      <w:r w:rsidR="00235C1D">
        <w:rPr>
          <w:bCs/>
          <w:color w:val="000000"/>
          <w:sz w:val="22"/>
          <w:szCs w:val="22"/>
        </w:rPr>
        <w:t xml:space="preserve">Q4 </w:t>
      </w:r>
      <w:r w:rsidR="007161EB">
        <w:rPr>
          <w:bCs/>
          <w:color w:val="000000"/>
          <w:sz w:val="22"/>
          <w:szCs w:val="22"/>
        </w:rPr>
        <w:t>2017</w:t>
      </w:r>
      <w:r w:rsidR="00831CEF">
        <w:rPr>
          <w:bCs/>
          <w:color w:val="000000"/>
          <w:sz w:val="22"/>
          <w:szCs w:val="22"/>
        </w:rPr>
        <w:t xml:space="preserve">. </w:t>
      </w:r>
      <w:r w:rsidR="0081709A" w:rsidRPr="0081709A">
        <w:rPr>
          <w:bCs/>
          <w:color w:val="000000"/>
          <w:sz w:val="22"/>
          <w:szCs w:val="22"/>
        </w:rPr>
        <w:t xml:space="preserve">Net sales of bond </w:t>
      </w:r>
      <w:r w:rsidR="008A1F77">
        <w:rPr>
          <w:bCs/>
          <w:color w:val="000000"/>
          <w:sz w:val="22"/>
          <w:szCs w:val="22"/>
        </w:rPr>
        <w:t xml:space="preserve">funds </w:t>
      </w:r>
      <w:r w:rsidR="0081709A" w:rsidRPr="0081709A">
        <w:rPr>
          <w:bCs/>
          <w:color w:val="000000"/>
          <w:sz w:val="22"/>
          <w:szCs w:val="22"/>
        </w:rPr>
        <w:t>decreased significantly from EUR 75 billion in Q4 2017 to EUR 2</w:t>
      </w:r>
      <w:r w:rsidR="0081709A">
        <w:rPr>
          <w:bCs/>
          <w:color w:val="000000"/>
          <w:sz w:val="22"/>
          <w:szCs w:val="22"/>
        </w:rPr>
        <w:t>7</w:t>
      </w:r>
      <w:r w:rsidR="0081709A" w:rsidRPr="0081709A">
        <w:rPr>
          <w:bCs/>
          <w:color w:val="000000"/>
          <w:sz w:val="22"/>
          <w:szCs w:val="22"/>
        </w:rPr>
        <w:t xml:space="preserve"> billion in Q1 2018.</w:t>
      </w:r>
      <w:r w:rsidR="0081709A">
        <w:rPr>
          <w:bCs/>
          <w:color w:val="000000"/>
          <w:sz w:val="22"/>
          <w:szCs w:val="22"/>
        </w:rPr>
        <w:t xml:space="preserve"> </w:t>
      </w:r>
      <w:r w:rsidR="00831CEF">
        <w:rPr>
          <w:bCs/>
          <w:color w:val="000000"/>
          <w:sz w:val="22"/>
          <w:szCs w:val="22"/>
        </w:rPr>
        <w:t>Ne</w:t>
      </w:r>
      <w:r w:rsidR="00807A41" w:rsidRPr="00A7353F">
        <w:rPr>
          <w:bCs/>
          <w:color w:val="000000"/>
          <w:sz w:val="22"/>
          <w:szCs w:val="22"/>
        </w:rPr>
        <w:t>t sales of mu</w:t>
      </w:r>
      <w:r w:rsidRPr="00A7353F">
        <w:rPr>
          <w:bCs/>
          <w:color w:val="000000"/>
          <w:sz w:val="22"/>
          <w:szCs w:val="22"/>
        </w:rPr>
        <w:t>lti-asset funds</w:t>
      </w:r>
      <w:r w:rsidR="00831CEF">
        <w:rPr>
          <w:bCs/>
          <w:color w:val="000000"/>
          <w:sz w:val="22"/>
          <w:szCs w:val="22"/>
        </w:rPr>
        <w:t xml:space="preserve"> </w:t>
      </w:r>
      <w:r w:rsidR="00235C1D">
        <w:rPr>
          <w:bCs/>
          <w:color w:val="000000"/>
          <w:sz w:val="22"/>
          <w:szCs w:val="22"/>
        </w:rPr>
        <w:t xml:space="preserve">increased </w:t>
      </w:r>
      <w:r w:rsidR="00831CEF">
        <w:rPr>
          <w:bCs/>
          <w:color w:val="000000"/>
          <w:sz w:val="22"/>
          <w:szCs w:val="22"/>
        </w:rPr>
        <w:t xml:space="preserve">from EUR </w:t>
      </w:r>
      <w:r w:rsidR="007161EB">
        <w:rPr>
          <w:bCs/>
          <w:color w:val="000000"/>
          <w:sz w:val="22"/>
          <w:szCs w:val="22"/>
        </w:rPr>
        <w:t>54</w:t>
      </w:r>
      <w:r w:rsidR="00235C1D">
        <w:rPr>
          <w:bCs/>
          <w:color w:val="000000"/>
          <w:sz w:val="22"/>
          <w:szCs w:val="22"/>
        </w:rPr>
        <w:t xml:space="preserve"> </w:t>
      </w:r>
      <w:r w:rsidR="00831CEF">
        <w:rPr>
          <w:bCs/>
          <w:color w:val="000000"/>
          <w:sz w:val="22"/>
          <w:szCs w:val="22"/>
        </w:rPr>
        <w:t xml:space="preserve">billion in </w:t>
      </w:r>
      <w:r w:rsidR="007161EB">
        <w:rPr>
          <w:bCs/>
          <w:color w:val="000000"/>
          <w:sz w:val="22"/>
          <w:szCs w:val="22"/>
        </w:rPr>
        <w:t>Q4 2017</w:t>
      </w:r>
      <w:r w:rsidR="00235C1D">
        <w:rPr>
          <w:bCs/>
          <w:color w:val="000000"/>
          <w:sz w:val="22"/>
          <w:szCs w:val="22"/>
        </w:rPr>
        <w:t xml:space="preserve"> </w:t>
      </w:r>
      <w:r w:rsidR="007161EB">
        <w:rPr>
          <w:bCs/>
          <w:color w:val="000000"/>
          <w:sz w:val="22"/>
          <w:szCs w:val="22"/>
        </w:rPr>
        <w:t>to EUR 5</w:t>
      </w:r>
      <w:r w:rsidR="0081709A">
        <w:rPr>
          <w:bCs/>
          <w:color w:val="000000"/>
          <w:sz w:val="22"/>
          <w:szCs w:val="22"/>
        </w:rPr>
        <w:t>8</w:t>
      </w:r>
      <w:r w:rsidR="004C06E4">
        <w:rPr>
          <w:bCs/>
          <w:color w:val="000000"/>
          <w:sz w:val="22"/>
          <w:szCs w:val="22"/>
        </w:rPr>
        <w:t xml:space="preserve"> billion in </w:t>
      </w:r>
      <w:r w:rsidR="007161EB">
        <w:rPr>
          <w:bCs/>
          <w:color w:val="000000"/>
          <w:sz w:val="22"/>
          <w:szCs w:val="22"/>
        </w:rPr>
        <w:t>Q1 2018</w:t>
      </w:r>
      <w:r w:rsidR="00831CEF">
        <w:rPr>
          <w:bCs/>
          <w:color w:val="000000"/>
          <w:sz w:val="22"/>
          <w:szCs w:val="22"/>
        </w:rPr>
        <w:t>.</w:t>
      </w:r>
      <w:r w:rsidR="009A088F">
        <w:rPr>
          <w:bCs/>
          <w:color w:val="000000"/>
          <w:sz w:val="22"/>
          <w:szCs w:val="22"/>
        </w:rPr>
        <w:t xml:space="preserve"> </w:t>
      </w:r>
      <w:r w:rsidR="00831CEF">
        <w:rPr>
          <w:bCs/>
          <w:color w:val="000000"/>
          <w:sz w:val="22"/>
          <w:szCs w:val="22"/>
        </w:rPr>
        <w:t xml:space="preserve">Net sales of money market funds </w:t>
      </w:r>
      <w:r w:rsidR="00FC532E">
        <w:rPr>
          <w:bCs/>
          <w:color w:val="000000"/>
          <w:sz w:val="22"/>
          <w:szCs w:val="22"/>
        </w:rPr>
        <w:t xml:space="preserve">recorded net outflows of </w:t>
      </w:r>
      <w:r w:rsidR="00831CEF">
        <w:rPr>
          <w:bCs/>
          <w:color w:val="000000"/>
          <w:sz w:val="22"/>
          <w:szCs w:val="22"/>
        </w:rPr>
        <w:t xml:space="preserve">EUR </w:t>
      </w:r>
      <w:r w:rsidR="00FC532E">
        <w:rPr>
          <w:bCs/>
          <w:color w:val="000000"/>
          <w:sz w:val="22"/>
          <w:szCs w:val="22"/>
        </w:rPr>
        <w:t>2</w:t>
      </w:r>
      <w:r w:rsidR="00271CDD">
        <w:rPr>
          <w:bCs/>
          <w:color w:val="000000"/>
          <w:sz w:val="22"/>
          <w:szCs w:val="22"/>
        </w:rPr>
        <w:t xml:space="preserve"> </w:t>
      </w:r>
      <w:r w:rsidR="00831CEF">
        <w:rPr>
          <w:bCs/>
          <w:color w:val="000000"/>
          <w:sz w:val="22"/>
          <w:szCs w:val="22"/>
        </w:rPr>
        <w:t xml:space="preserve">billion in </w:t>
      </w:r>
      <w:r w:rsidR="00271CDD">
        <w:rPr>
          <w:bCs/>
          <w:color w:val="000000"/>
          <w:sz w:val="22"/>
          <w:szCs w:val="22"/>
        </w:rPr>
        <w:t xml:space="preserve">Q1 </w:t>
      </w:r>
      <w:r w:rsidR="00831CEF">
        <w:rPr>
          <w:bCs/>
          <w:color w:val="000000"/>
          <w:sz w:val="22"/>
          <w:szCs w:val="22"/>
        </w:rPr>
        <w:t>201</w:t>
      </w:r>
      <w:r w:rsidR="00FC532E">
        <w:rPr>
          <w:bCs/>
          <w:color w:val="000000"/>
          <w:sz w:val="22"/>
          <w:szCs w:val="22"/>
        </w:rPr>
        <w:t>8</w:t>
      </w:r>
      <w:r w:rsidR="004A26B7">
        <w:rPr>
          <w:bCs/>
          <w:color w:val="000000"/>
          <w:sz w:val="22"/>
          <w:szCs w:val="22"/>
        </w:rPr>
        <w:t xml:space="preserve">, compared to </w:t>
      </w:r>
      <w:r w:rsidR="00956573">
        <w:rPr>
          <w:bCs/>
          <w:color w:val="000000"/>
          <w:sz w:val="22"/>
          <w:szCs w:val="22"/>
        </w:rPr>
        <w:t xml:space="preserve">net </w:t>
      </w:r>
      <w:r w:rsidR="004A26B7">
        <w:rPr>
          <w:bCs/>
          <w:color w:val="000000"/>
          <w:sz w:val="22"/>
          <w:szCs w:val="22"/>
        </w:rPr>
        <w:t>outflows of EUR 3 billion in Q4 2017</w:t>
      </w:r>
      <w:r w:rsidR="00831CEF">
        <w:rPr>
          <w:bCs/>
          <w:color w:val="000000"/>
          <w:sz w:val="22"/>
          <w:szCs w:val="22"/>
        </w:rPr>
        <w:t xml:space="preserve">. </w:t>
      </w:r>
      <w:r>
        <w:rPr>
          <w:bCs/>
          <w:color w:val="000000"/>
          <w:sz w:val="22"/>
          <w:szCs w:val="22"/>
        </w:rPr>
        <w:t xml:space="preserve"> </w:t>
      </w:r>
    </w:p>
    <w:p w:rsidR="00321FA6" w:rsidRDefault="00321FA6" w:rsidP="00321FA6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bCs/>
          <w:color w:val="000000"/>
          <w:sz w:val="22"/>
          <w:szCs w:val="22"/>
        </w:rPr>
      </w:pPr>
    </w:p>
    <w:p w:rsidR="00321FA6" w:rsidRPr="00955553" w:rsidRDefault="009C7A58" w:rsidP="00321FA6">
      <w:pPr>
        <w:pStyle w:val="Footer"/>
        <w:tabs>
          <w:tab w:val="left" w:pos="720"/>
          <w:tab w:val="left" w:pos="4320"/>
        </w:tabs>
        <w:spacing w:line="260" w:lineRule="exact"/>
        <w:jc w:val="right"/>
        <w:rPr>
          <w:bCs/>
          <w:color w:val="000000"/>
          <w:sz w:val="22"/>
          <w:szCs w:val="22"/>
        </w:rPr>
      </w:pPr>
      <w:r>
        <w:rPr>
          <w:b/>
          <w:bCs/>
          <w:iCs/>
          <w:noProof/>
          <w:sz w:val="28"/>
          <w:szCs w:val="28"/>
          <w:lang w:val="nl-BE" w:eastAsia="nl-B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3153600" cy="19188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600" cy="191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nl-BE" w:eastAsia="nl-BE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margin">
              <wp:posOffset>-635</wp:posOffset>
            </wp:positionH>
            <wp:positionV relativeFrom="page">
              <wp:posOffset>2762250</wp:posOffset>
            </wp:positionV>
            <wp:extent cx="3156585" cy="19183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585" cy="191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1FA6" w:rsidRPr="001B65E9" w:rsidRDefault="00321FA6" w:rsidP="00321FA6">
      <w:pPr>
        <w:pStyle w:val="Footer"/>
        <w:jc w:val="center"/>
        <w:rPr>
          <w:b/>
          <w:bCs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F698C" w:rsidRPr="001B65E9" w:rsidRDefault="009F698C" w:rsidP="005F2CD7">
      <w:pPr>
        <w:pStyle w:val="Footer"/>
        <w:jc w:val="center"/>
        <w:outlineLvl w:val="0"/>
        <w:rPr>
          <w:b/>
          <w:bCs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F698C" w:rsidRPr="009F698C" w:rsidRDefault="009F698C" w:rsidP="009F698C"/>
    <w:p w:rsidR="009F698C" w:rsidRPr="009F698C" w:rsidRDefault="009F698C" w:rsidP="009F698C"/>
    <w:p w:rsidR="009F698C" w:rsidRPr="009F698C" w:rsidRDefault="009F698C" w:rsidP="009F698C"/>
    <w:p w:rsidR="009F698C" w:rsidRPr="009F698C" w:rsidRDefault="009F698C" w:rsidP="009F698C"/>
    <w:p w:rsidR="009F698C" w:rsidRPr="009F698C" w:rsidRDefault="009F698C" w:rsidP="009F698C"/>
    <w:p w:rsidR="009F698C" w:rsidRPr="009F698C" w:rsidRDefault="009F698C" w:rsidP="009F698C"/>
    <w:p w:rsidR="009F698C" w:rsidRPr="009F698C" w:rsidRDefault="009F698C" w:rsidP="009F698C"/>
    <w:p w:rsidR="009F698C" w:rsidRPr="009F698C" w:rsidRDefault="009F698C" w:rsidP="009F698C"/>
    <w:p w:rsidR="009F698C" w:rsidRPr="009F698C" w:rsidRDefault="009F698C" w:rsidP="009F698C"/>
    <w:p w:rsidR="009F698C" w:rsidRPr="009F698C" w:rsidRDefault="0081709A" w:rsidP="009F698C">
      <w:r>
        <w:rPr>
          <w:noProof/>
          <w:lang w:val="nl-BE" w:eastAsia="nl-BE"/>
        </w:rPr>
        <w:drawing>
          <wp:anchor distT="0" distB="0" distL="114300" distR="114300" simplePos="0" relativeHeight="251737088" behindDoc="0" locked="0" layoutInCell="1" allowOverlap="1" wp14:anchorId="62BE9FD1" wp14:editId="4605FF8C">
            <wp:simplePos x="0" y="0"/>
            <wp:positionH relativeFrom="margin">
              <wp:align>right</wp:align>
            </wp:positionH>
            <wp:positionV relativeFrom="paragraph">
              <wp:posOffset>95885</wp:posOffset>
            </wp:positionV>
            <wp:extent cx="3135600" cy="19188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600" cy="191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7A58">
        <w:rPr>
          <w:noProof/>
          <w:lang w:val="nl-BE" w:eastAsia="nl-BE"/>
        </w:rPr>
        <w:drawing>
          <wp:anchor distT="0" distB="0" distL="114300" distR="114300" simplePos="0" relativeHeight="251735040" behindDoc="0" locked="0" layoutInCell="1" allowOverlap="1" wp14:anchorId="30DD8D24" wp14:editId="3E7C614A">
            <wp:simplePos x="0" y="0"/>
            <wp:positionH relativeFrom="margin">
              <wp:align>left</wp:align>
            </wp:positionH>
            <wp:positionV relativeFrom="paragraph">
              <wp:posOffset>96520</wp:posOffset>
            </wp:positionV>
            <wp:extent cx="3153600" cy="19188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600" cy="191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698C" w:rsidRPr="009F698C" w:rsidRDefault="009F698C" w:rsidP="009F698C"/>
    <w:p w:rsidR="009F698C" w:rsidRPr="009F698C" w:rsidRDefault="009F698C" w:rsidP="009F698C"/>
    <w:p w:rsidR="009F698C" w:rsidRPr="009F698C" w:rsidRDefault="009F698C" w:rsidP="009F698C"/>
    <w:p w:rsidR="009F698C" w:rsidRPr="009F698C" w:rsidRDefault="009F698C" w:rsidP="009F698C"/>
    <w:p w:rsidR="009F698C" w:rsidRPr="009F698C" w:rsidRDefault="009F698C" w:rsidP="009F698C"/>
    <w:p w:rsidR="009F698C" w:rsidRPr="009F698C" w:rsidRDefault="009F698C" w:rsidP="009F698C"/>
    <w:p w:rsidR="009F698C" w:rsidRDefault="009F698C" w:rsidP="005F2CD7">
      <w:pPr>
        <w:pStyle w:val="Footer"/>
        <w:jc w:val="center"/>
        <w:outlineLvl w:val="0"/>
      </w:pPr>
    </w:p>
    <w:p w:rsidR="009F698C" w:rsidRDefault="009F698C" w:rsidP="005F2CD7">
      <w:pPr>
        <w:pStyle w:val="Footer"/>
        <w:jc w:val="center"/>
        <w:outlineLvl w:val="0"/>
      </w:pPr>
    </w:p>
    <w:p w:rsidR="009F698C" w:rsidRDefault="009F698C" w:rsidP="009F698C">
      <w:pPr>
        <w:pStyle w:val="Footer"/>
        <w:tabs>
          <w:tab w:val="clear" w:pos="8640"/>
          <w:tab w:val="left" w:pos="5040"/>
          <w:tab w:val="left" w:pos="5760"/>
          <w:tab w:val="left" w:pos="6480"/>
          <w:tab w:val="left" w:pos="7200"/>
        </w:tabs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D6932" w:rsidRPr="001B65E9" w:rsidRDefault="0081709A" w:rsidP="005F2CD7">
      <w:pPr>
        <w:pStyle w:val="Footer"/>
        <w:jc w:val="center"/>
        <w:outlineLvl w:val="0"/>
        <w:rPr>
          <w:b/>
          <w:bCs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val="nl-BE" w:eastAsia="nl-BE"/>
        </w:rPr>
        <w:drawing>
          <wp:anchor distT="0" distB="0" distL="114300" distR="114300" simplePos="0" relativeHeight="251736064" behindDoc="0" locked="0" layoutInCell="1" allowOverlap="1" wp14:anchorId="70C35BDA" wp14:editId="11A7B90D">
            <wp:simplePos x="0" y="0"/>
            <wp:positionH relativeFrom="margin">
              <wp:align>left</wp:align>
            </wp:positionH>
            <wp:positionV relativeFrom="paragraph">
              <wp:posOffset>694055</wp:posOffset>
            </wp:positionV>
            <wp:extent cx="3117600" cy="19188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600" cy="191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7A58">
        <w:rPr>
          <w:noProof/>
          <w:lang w:val="nl-BE" w:eastAsia="nl-BE"/>
        </w:rPr>
        <w:drawing>
          <wp:anchor distT="0" distB="0" distL="114300" distR="114300" simplePos="0" relativeHeight="251738112" behindDoc="0" locked="0" layoutInCell="1" allowOverlap="1" wp14:anchorId="6A72EF21" wp14:editId="564CA2CC">
            <wp:simplePos x="0" y="0"/>
            <wp:positionH relativeFrom="margin">
              <wp:posOffset>3186430</wp:posOffset>
            </wp:positionH>
            <wp:positionV relativeFrom="paragraph">
              <wp:posOffset>675005</wp:posOffset>
            </wp:positionV>
            <wp:extent cx="3153600" cy="19188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600" cy="191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1FA6" w:rsidRPr="009F698C">
        <w:br w:type="page"/>
      </w:r>
      <w:bookmarkStart w:id="0" w:name="OLE_LINK3"/>
      <w:r w:rsidR="005F2CD7" w:rsidRPr="001B65E9">
        <w:rPr>
          <w:b/>
          <w:bCs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Tr</w:t>
      </w:r>
      <w:r w:rsidR="001D6932" w:rsidRPr="001B65E9">
        <w:rPr>
          <w:b/>
          <w:bCs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ends in the UCITS Market</w:t>
      </w:r>
    </w:p>
    <w:p w:rsidR="00770065" w:rsidRDefault="00770065" w:rsidP="00770065">
      <w:pPr>
        <w:pStyle w:val="Footer"/>
        <w:jc w:val="center"/>
        <w:rPr>
          <w:b/>
          <w:bCs/>
          <w:i/>
          <w:iCs/>
          <w:sz w:val="16"/>
          <w:szCs w:val="16"/>
          <w:lang w:val="en-US"/>
        </w:rPr>
      </w:pPr>
      <w:r w:rsidRPr="001B65E9"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Net </w:t>
      </w:r>
      <w:r w:rsidR="0074146A" w:rsidRPr="001B65E9"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Sales by Country of Domiciliation and Investment Type</w:t>
      </w:r>
    </w:p>
    <w:p w:rsidR="001D6932" w:rsidRDefault="001D6932" w:rsidP="00770065">
      <w:pPr>
        <w:spacing w:line="260" w:lineRule="atLeast"/>
        <w:jc w:val="both"/>
        <w:rPr>
          <w:b/>
          <w:color w:val="0000FF"/>
          <w:sz w:val="22"/>
          <w:szCs w:val="22"/>
          <w:lang w:eastAsia="fr-FR"/>
        </w:rPr>
      </w:pPr>
    </w:p>
    <w:p w:rsidR="00221202" w:rsidRPr="00622197" w:rsidRDefault="00207327" w:rsidP="00770065">
      <w:pPr>
        <w:spacing w:line="260" w:lineRule="atLeast"/>
        <w:jc w:val="both"/>
        <w:rPr>
          <w:b/>
          <w:color w:val="0000FF"/>
          <w:sz w:val="22"/>
          <w:szCs w:val="22"/>
          <w:lang w:eastAsia="fr-FR"/>
        </w:rPr>
      </w:pPr>
      <w:r w:rsidRPr="00622197">
        <w:rPr>
          <w:b/>
          <w:color w:val="0000FF"/>
          <w:sz w:val="22"/>
          <w:szCs w:val="22"/>
          <w:lang w:eastAsia="fr-FR"/>
        </w:rPr>
        <w:t>Twenty-</w:t>
      </w:r>
      <w:r w:rsidR="00C53DD8" w:rsidRPr="00622197">
        <w:rPr>
          <w:b/>
          <w:color w:val="0000FF"/>
          <w:sz w:val="22"/>
          <w:szCs w:val="22"/>
          <w:lang w:eastAsia="fr-FR"/>
        </w:rPr>
        <w:t>six</w:t>
      </w:r>
      <w:r w:rsidR="00031C6F" w:rsidRPr="00622197">
        <w:rPr>
          <w:b/>
          <w:color w:val="0000FF"/>
          <w:sz w:val="22"/>
          <w:szCs w:val="22"/>
          <w:lang w:eastAsia="fr-FR"/>
        </w:rPr>
        <w:t xml:space="preserve"> </w:t>
      </w:r>
      <w:r w:rsidR="00656DDE" w:rsidRPr="00622197">
        <w:rPr>
          <w:b/>
          <w:color w:val="0000FF"/>
          <w:sz w:val="22"/>
          <w:szCs w:val="22"/>
          <w:lang w:eastAsia="fr-FR"/>
        </w:rPr>
        <w:t>countries registered</w:t>
      </w:r>
      <w:r w:rsidR="00783D39" w:rsidRPr="00622197">
        <w:rPr>
          <w:b/>
          <w:color w:val="0000FF"/>
          <w:sz w:val="22"/>
          <w:szCs w:val="22"/>
          <w:lang w:eastAsia="fr-FR"/>
        </w:rPr>
        <w:t xml:space="preserve"> net inflows</w:t>
      </w:r>
      <w:r w:rsidR="00000E96" w:rsidRPr="00622197">
        <w:rPr>
          <w:b/>
          <w:color w:val="0000FF"/>
          <w:sz w:val="22"/>
          <w:szCs w:val="22"/>
          <w:lang w:eastAsia="fr-FR"/>
        </w:rPr>
        <w:t xml:space="preserve"> into UCITS</w:t>
      </w:r>
      <w:r w:rsidR="00656DDE" w:rsidRPr="00622197">
        <w:rPr>
          <w:b/>
          <w:color w:val="0000FF"/>
          <w:sz w:val="22"/>
          <w:szCs w:val="22"/>
          <w:lang w:eastAsia="fr-FR"/>
        </w:rPr>
        <w:t xml:space="preserve"> in </w:t>
      </w:r>
      <w:r w:rsidR="008C3A89">
        <w:rPr>
          <w:b/>
          <w:color w:val="0000FF"/>
          <w:sz w:val="22"/>
          <w:szCs w:val="22"/>
          <w:lang w:eastAsia="fr-FR"/>
        </w:rPr>
        <w:t xml:space="preserve">Q1 </w:t>
      </w:r>
      <w:r w:rsidR="001A17F7" w:rsidRPr="00622197">
        <w:rPr>
          <w:b/>
          <w:color w:val="0000FF"/>
          <w:sz w:val="22"/>
          <w:szCs w:val="22"/>
          <w:lang w:eastAsia="fr-FR"/>
        </w:rPr>
        <w:t>201</w:t>
      </w:r>
      <w:r w:rsidR="004617EC" w:rsidRPr="00622197">
        <w:rPr>
          <w:b/>
          <w:color w:val="0000FF"/>
          <w:sz w:val="22"/>
          <w:szCs w:val="22"/>
          <w:lang w:eastAsia="fr-FR"/>
        </w:rPr>
        <w:t>8</w:t>
      </w:r>
      <w:r w:rsidR="001A17F7" w:rsidRPr="00622197">
        <w:rPr>
          <w:b/>
          <w:color w:val="0000FF"/>
          <w:sz w:val="22"/>
          <w:szCs w:val="22"/>
          <w:lang w:eastAsia="fr-FR"/>
        </w:rPr>
        <w:t xml:space="preserve">, </w:t>
      </w:r>
      <w:r w:rsidR="009C5394" w:rsidRPr="00622197">
        <w:rPr>
          <w:b/>
          <w:color w:val="0000FF"/>
          <w:sz w:val="22"/>
          <w:szCs w:val="22"/>
          <w:lang w:eastAsia="fr-FR"/>
        </w:rPr>
        <w:t xml:space="preserve">with </w:t>
      </w:r>
      <w:r w:rsidR="004617EC" w:rsidRPr="00622197">
        <w:rPr>
          <w:b/>
          <w:color w:val="0000FF"/>
          <w:sz w:val="22"/>
          <w:szCs w:val="22"/>
          <w:lang w:eastAsia="fr-FR"/>
        </w:rPr>
        <w:t>nine</w:t>
      </w:r>
      <w:r w:rsidR="006A7BBC" w:rsidRPr="00622197">
        <w:rPr>
          <w:b/>
          <w:color w:val="0000FF"/>
          <w:sz w:val="22"/>
          <w:szCs w:val="22"/>
          <w:lang w:eastAsia="fr-FR"/>
        </w:rPr>
        <w:t xml:space="preserve"> countries recording</w:t>
      </w:r>
      <w:r w:rsidR="00622197">
        <w:rPr>
          <w:b/>
          <w:color w:val="0000FF"/>
          <w:sz w:val="22"/>
          <w:szCs w:val="22"/>
          <w:lang w:eastAsia="fr-FR"/>
        </w:rPr>
        <w:t xml:space="preserve"> </w:t>
      </w:r>
      <w:r w:rsidR="006A7BBC" w:rsidRPr="00622197">
        <w:rPr>
          <w:b/>
          <w:color w:val="0000FF"/>
          <w:sz w:val="22"/>
          <w:szCs w:val="22"/>
          <w:lang w:eastAsia="fr-FR"/>
        </w:rPr>
        <w:t>net inf</w:t>
      </w:r>
      <w:r w:rsidR="009E04B4" w:rsidRPr="00622197">
        <w:rPr>
          <w:b/>
          <w:color w:val="0000FF"/>
          <w:sz w:val="22"/>
          <w:szCs w:val="22"/>
          <w:lang w:eastAsia="fr-FR"/>
        </w:rPr>
        <w:t xml:space="preserve">lows </w:t>
      </w:r>
      <w:r w:rsidR="009C5394" w:rsidRPr="00622197">
        <w:rPr>
          <w:b/>
          <w:color w:val="0000FF"/>
          <w:sz w:val="22"/>
          <w:szCs w:val="22"/>
          <w:lang w:eastAsia="fr-FR"/>
        </w:rPr>
        <w:t>above</w:t>
      </w:r>
      <w:r w:rsidR="009E04B4" w:rsidRPr="00622197">
        <w:rPr>
          <w:b/>
          <w:color w:val="0000FF"/>
          <w:sz w:val="22"/>
          <w:szCs w:val="22"/>
          <w:lang w:eastAsia="fr-FR"/>
        </w:rPr>
        <w:t xml:space="preserve"> EUR 1 billion.</w:t>
      </w:r>
    </w:p>
    <w:p w:rsidR="00221202" w:rsidRDefault="00221202" w:rsidP="00770065">
      <w:pPr>
        <w:spacing w:line="260" w:lineRule="atLeast"/>
        <w:jc w:val="both"/>
        <w:rPr>
          <w:b/>
          <w:color w:val="0000FF"/>
          <w:sz w:val="22"/>
          <w:szCs w:val="22"/>
          <w:lang w:eastAsia="fr-FR"/>
        </w:rPr>
      </w:pPr>
    </w:p>
    <w:p w:rsidR="0086073F" w:rsidRDefault="0086073F" w:rsidP="0086073F">
      <w:pPr>
        <w:spacing w:line="260" w:lineRule="atLeast"/>
        <w:jc w:val="both"/>
        <w:rPr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 xml:space="preserve">In Q1 2018, the five domiciles with the largest net sales were </w:t>
      </w:r>
      <w:r w:rsidRPr="00400550">
        <w:rPr>
          <w:sz w:val="22"/>
          <w:szCs w:val="22"/>
          <w:lang w:eastAsia="fr-FR"/>
        </w:rPr>
        <w:t xml:space="preserve">Luxembourg </w:t>
      </w:r>
      <w:r>
        <w:rPr>
          <w:sz w:val="22"/>
          <w:szCs w:val="22"/>
          <w:lang w:eastAsia="fr-FR"/>
        </w:rPr>
        <w:t xml:space="preserve">(EUR 67.9 billion), followed by France (EUR 32.9 billion), Ireland (EUR 28.4 billion), Spain (EUR 10.1 billion), and Switzerland (EUR 9.4 billion). </w:t>
      </w:r>
    </w:p>
    <w:p w:rsidR="00A41F79" w:rsidRPr="00E4443A" w:rsidRDefault="00A41F79" w:rsidP="00981659">
      <w:pPr>
        <w:spacing w:line="260" w:lineRule="atLeast"/>
        <w:jc w:val="both"/>
        <w:rPr>
          <w:sz w:val="22"/>
          <w:szCs w:val="22"/>
          <w:lang w:eastAsia="fr-FR"/>
        </w:rPr>
      </w:pPr>
    </w:p>
    <w:p w:rsidR="00223783" w:rsidRPr="00130663" w:rsidRDefault="00313F4F" w:rsidP="00130663">
      <w:pPr>
        <w:rPr>
          <w:sz w:val="22"/>
          <w:szCs w:val="22"/>
          <w:lang w:eastAsia="fr-FR"/>
        </w:rPr>
      </w:pPr>
      <w:r w:rsidRPr="00130663">
        <w:rPr>
          <w:sz w:val="22"/>
          <w:szCs w:val="22"/>
          <w:lang w:eastAsia="fr-FR"/>
        </w:rPr>
        <w:t>Strong net inflows into UCITS fund</w:t>
      </w:r>
      <w:r w:rsidR="00805FBB" w:rsidRPr="00130663">
        <w:rPr>
          <w:sz w:val="22"/>
          <w:szCs w:val="22"/>
          <w:lang w:eastAsia="fr-FR"/>
        </w:rPr>
        <w:t xml:space="preserve">s were also seen in </w:t>
      </w:r>
      <w:r w:rsidR="0086073F">
        <w:rPr>
          <w:sz w:val="22"/>
          <w:szCs w:val="22"/>
          <w:lang w:eastAsia="fr-FR"/>
        </w:rPr>
        <w:t>United Kin</w:t>
      </w:r>
      <w:r w:rsidR="004412CB">
        <w:rPr>
          <w:sz w:val="22"/>
          <w:szCs w:val="22"/>
          <w:lang w:eastAsia="fr-FR"/>
        </w:rPr>
        <w:t>g</w:t>
      </w:r>
      <w:r w:rsidR="0086073F">
        <w:rPr>
          <w:sz w:val="22"/>
          <w:szCs w:val="22"/>
          <w:lang w:eastAsia="fr-FR"/>
        </w:rPr>
        <w:t>dom</w:t>
      </w:r>
      <w:r w:rsidR="00F67028" w:rsidRPr="00130663">
        <w:rPr>
          <w:sz w:val="22"/>
          <w:szCs w:val="22"/>
          <w:lang w:eastAsia="fr-FR"/>
        </w:rPr>
        <w:t xml:space="preserve"> (EUR </w:t>
      </w:r>
      <w:r w:rsidR="004412CB">
        <w:rPr>
          <w:sz w:val="22"/>
          <w:szCs w:val="22"/>
          <w:lang w:eastAsia="fr-FR"/>
        </w:rPr>
        <w:t>7.3</w:t>
      </w:r>
      <w:r w:rsidR="00F67028" w:rsidRPr="00130663">
        <w:rPr>
          <w:sz w:val="22"/>
          <w:szCs w:val="22"/>
          <w:lang w:eastAsia="fr-FR"/>
        </w:rPr>
        <w:t xml:space="preserve"> billion</w:t>
      </w:r>
      <w:r w:rsidRPr="00130663">
        <w:rPr>
          <w:sz w:val="22"/>
          <w:szCs w:val="22"/>
          <w:lang w:eastAsia="fr-FR"/>
        </w:rPr>
        <w:t>)</w:t>
      </w:r>
      <w:r w:rsidR="0056452B" w:rsidRPr="00130663">
        <w:rPr>
          <w:sz w:val="22"/>
          <w:szCs w:val="22"/>
          <w:lang w:eastAsia="fr-FR"/>
        </w:rPr>
        <w:t>,</w:t>
      </w:r>
      <w:r w:rsidR="00805FBB" w:rsidRPr="00130663">
        <w:rPr>
          <w:sz w:val="22"/>
          <w:szCs w:val="22"/>
          <w:lang w:eastAsia="fr-FR"/>
        </w:rPr>
        <w:t xml:space="preserve"> </w:t>
      </w:r>
      <w:r w:rsidR="004412CB">
        <w:rPr>
          <w:sz w:val="22"/>
          <w:szCs w:val="22"/>
          <w:lang w:eastAsia="fr-FR"/>
        </w:rPr>
        <w:t xml:space="preserve">Germany </w:t>
      </w:r>
      <w:r w:rsidR="0056452B" w:rsidRPr="00130663">
        <w:rPr>
          <w:sz w:val="22"/>
          <w:szCs w:val="22"/>
          <w:lang w:eastAsia="fr-FR"/>
        </w:rPr>
        <w:t xml:space="preserve">(EUR </w:t>
      </w:r>
      <w:r w:rsidR="004412CB">
        <w:rPr>
          <w:sz w:val="22"/>
          <w:szCs w:val="22"/>
          <w:lang w:eastAsia="fr-FR"/>
        </w:rPr>
        <w:t>5.</w:t>
      </w:r>
      <w:r w:rsidR="0056452B" w:rsidRPr="00130663">
        <w:rPr>
          <w:sz w:val="22"/>
          <w:szCs w:val="22"/>
          <w:lang w:eastAsia="fr-FR"/>
        </w:rPr>
        <w:t>3 billion)</w:t>
      </w:r>
      <w:r w:rsidR="00130663">
        <w:rPr>
          <w:sz w:val="22"/>
          <w:szCs w:val="22"/>
          <w:lang w:eastAsia="fr-FR"/>
        </w:rPr>
        <w:t>,</w:t>
      </w:r>
      <w:r w:rsidR="004412CB">
        <w:rPr>
          <w:sz w:val="22"/>
          <w:szCs w:val="22"/>
          <w:lang w:eastAsia="fr-FR"/>
        </w:rPr>
        <w:t xml:space="preserve"> Denmark</w:t>
      </w:r>
      <w:r w:rsidR="0056452B" w:rsidRPr="00130663">
        <w:rPr>
          <w:sz w:val="22"/>
          <w:szCs w:val="22"/>
          <w:lang w:eastAsia="fr-FR"/>
        </w:rPr>
        <w:t xml:space="preserve"> (</w:t>
      </w:r>
      <w:r w:rsidR="008A1F77">
        <w:rPr>
          <w:sz w:val="22"/>
          <w:szCs w:val="22"/>
          <w:lang w:eastAsia="fr-FR"/>
        </w:rPr>
        <w:t xml:space="preserve">EUR </w:t>
      </w:r>
      <w:r w:rsidR="0056452B" w:rsidRPr="00130663">
        <w:rPr>
          <w:sz w:val="22"/>
          <w:szCs w:val="22"/>
          <w:lang w:eastAsia="fr-FR"/>
        </w:rPr>
        <w:t>3</w:t>
      </w:r>
      <w:r w:rsidR="004412CB">
        <w:rPr>
          <w:sz w:val="22"/>
          <w:szCs w:val="22"/>
          <w:lang w:eastAsia="fr-FR"/>
        </w:rPr>
        <w:t>.5</w:t>
      </w:r>
      <w:r w:rsidR="004C5136">
        <w:rPr>
          <w:sz w:val="22"/>
          <w:szCs w:val="22"/>
          <w:lang w:eastAsia="fr-FR"/>
        </w:rPr>
        <w:t xml:space="preserve"> </w:t>
      </w:r>
      <w:r w:rsidR="0056452B" w:rsidRPr="00130663">
        <w:rPr>
          <w:sz w:val="22"/>
          <w:szCs w:val="22"/>
          <w:lang w:eastAsia="fr-FR"/>
        </w:rPr>
        <w:t>billon)</w:t>
      </w:r>
      <w:r w:rsidR="004412CB">
        <w:rPr>
          <w:sz w:val="22"/>
          <w:szCs w:val="22"/>
          <w:lang w:eastAsia="fr-FR"/>
        </w:rPr>
        <w:t xml:space="preserve"> and Italy (</w:t>
      </w:r>
      <w:r w:rsidR="008A1F77">
        <w:rPr>
          <w:sz w:val="22"/>
          <w:szCs w:val="22"/>
          <w:lang w:eastAsia="fr-FR"/>
        </w:rPr>
        <w:t xml:space="preserve">EUR </w:t>
      </w:r>
      <w:r w:rsidR="004412CB">
        <w:rPr>
          <w:sz w:val="22"/>
          <w:szCs w:val="22"/>
          <w:lang w:eastAsia="fr-FR"/>
        </w:rPr>
        <w:t>3</w:t>
      </w:r>
      <w:r w:rsidR="004C5136">
        <w:rPr>
          <w:sz w:val="22"/>
          <w:szCs w:val="22"/>
          <w:lang w:eastAsia="fr-FR"/>
        </w:rPr>
        <w:t xml:space="preserve"> </w:t>
      </w:r>
      <w:r w:rsidR="00130663">
        <w:rPr>
          <w:sz w:val="22"/>
          <w:szCs w:val="22"/>
          <w:lang w:eastAsia="fr-FR"/>
        </w:rPr>
        <w:t>billion)</w:t>
      </w:r>
      <w:r w:rsidR="0056452B" w:rsidRPr="00130663">
        <w:rPr>
          <w:sz w:val="22"/>
          <w:szCs w:val="22"/>
          <w:lang w:eastAsia="fr-FR"/>
        </w:rPr>
        <w:t>.</w:t>
      </w:r>
    </w:p>
    <w:p w:rsidR="00624868" w:rsidRPr="00E303FC" w:rsidRDefault="00624868" w:rsidP="00981659">
      <w:pPr>
        <w:spacing w:line="260" w:lineRule="atLeast"/>
        <w:jc w:val="both"/>
        <w:rPr>
          <w:sz w:val="22"/>
          <w:szCs w:val="22"/>
          <w:lang w:eastAsia="fr-FR"/>
        </w:rPr>
      </w:pPr>
    </w:p>
    <w:p w:rsidR="00E13EE1" w:rsidRDefault="00E13EE1" w:rsidP="00770065">
      <w:pPr>
        <w:spacing w:line="260" w:lineRule="atLeast"/>
        <w:jc w:val="both"/>
        <w:rPr>
          <w:sz w:val="22"/>
          <w:szCs w:val="22"/>
          <w:lang w:eastAsia="fr-FR"/>
        </w:rPr>
      </w:pPr>
    </w:p>
    <w:p w:rsidR="0037100A" w:rsidRPr="00F74D7F" w:rsidRDefault="009C7A58" w:rsidP="00F74D7F">
      <w:pPr>
        <w:spacing w:line="260" w:lineRule="atLeast"/>
        <w:jc w:val="both"/>
        <w:rPr>
          <w:sz w:val="22"/>
          <w:szCs w:val="22"/>
          <w:lang w:eastAsia="fr-FR"/>
        </w:rPr>
      </w:pPr>
      <w:r w:rsidRPr="009C7A58">
        <w:rPr>
          <w:noProof/>
          <w:lang w:val="nl-BE" w:eastAsia="nl-BE"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-4445</wp:posOffset>
            </wp:positionV>
            <wp:extent cx="6264000" cy="5788800"/>
            <wp:effectExtent l="0" t="0" r="3810" b="254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000" cy="578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A4F4B" w:rsidRPr="001B65E9" w:rsidRDefault="0027129D" w:rsidP="008A4F4B">
      <w:pPr>
        <w:pStyle w:val="Footer"/>
        <w:jc w:val="center"/>
        <w:outlineLvl w:val="0"/>
        <w:rPr>
          <w:b/>
          <w:bCs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B65E9"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  <w:r w:rsidR="008A4F4B" w:rsidRPr="001B65E9">
        <w:rPr>
          <w:b/>
          <w:bCs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Tr</w:t>
      </w:r>
      <w:r w:rsidR="00E0179D" w:rsidRPr="001B65E9">
        <w:rPr>
          <w:b/>
          <w:bCs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ends in </w:t>
      </w:r>
      <w:r w:rsidR="00805FBB" w:rsidRPr="001B65E9">
        <w:rPr>
          <w:b/>
          <w:bCs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 UCITS Market</w:t>
      </w:r>
    </w:p>
    <w:p w:rsidR="008A4F4B" w:rsidRDefault="008A4F4B" w:rsidP="008A4F4B">
      <w:pPr>
        <w:pStyle w:val="Footer"/>
        <w:jc w:val="center"/>
        <w:rPr>
          <w:b/>
          <w:bCs/>
          <w:i/>
          <w:iCs/>
          <w:sz w:val="16"/>
          <w:szCs w:val="16"/>
          <w:lang w:val="en-US"/>
        </w:rPr>
      </w:pPr>
      <w:r w:rsidRPr="001B65E9"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Net Sales </w:t>
      </w:r>
      <w:r w:rsidR="00E0179D" w:rsidRPr="001B65E9"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and Net Assets</w:t>
      </w:r>
      <w:r w:rsidR="00805FBB" w:rsidRPr="001B65E9"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of ETF</w:t>
      </w:r>
      <w:r w:rsidR="00E0179D" w:rsidRPr="001B65E9"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1B65E9"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by Country of Domiciliation </w:t>
      </w:r>
    </w:p>
    <w:p w:rsidR="008A4F4B" w:rsidRDefault="008A4F4B" w:rsidP="008A4F4B">
      <w:pPr>
        <w:spacing w:line="260" w:lineRule="atLeast"/>
        <w:jc w:val="both"/>
        <w:rPr>
          <w:b/>
          <w:color w:val="0000FF"/>
          <w:sz w:val="22"/>
          <w:szCs w:val="22"/>
          <w:lang w:eastAsia="fr-FR"/>
        </w:rPr>
      </w:pPr>
    </w:p>
    <w:p w:rsidR="008A4F4B" w:rsidRDefault="009A088F" w:rsidP="008A4F4B">
      <w:pPr>
        <w:spacing w:line="260" w:lineRule="atLeast"/>
        <w:jc w:val="both"/>
        <w:rPr>
          <w:b/>
          <w:color w:val="0000FF"/>
          <w:sz w:val="22"/>
          <w:szCs w:val="22"/>
          <w:lang w:eastAsia="fr-FR"/>
        </w:rPr>
      </w:pPr>
      <w:r>
        <w:rPr>
          <w:b/>
          <w:color w:val="0000FF"/>
          <w:sz w:val="22"/>
          <w:szCs w:val="22"/>
          <w:lang w:eastAsia="fr-FR"/>
        </w:rPr>
        <w:t xml:space="preserve">Net sales of UCITS ETF reached EUR </w:t>
      </w:r>
      <w:r w:rsidR="004971B0">
        <w:rPr>
          <w:b/>
          <w:color w:val="0000FF"/>
          <w:sz w:val="22"/>
          <w:szCs w:val="22"/>
          <w:lang w:eastAsia="fr-FR"/>
        </w:rPr>
        <w:t>23</w:t>
      </w:r>
      <w:r w:rsidR="0056452B">
        <w:rPr>
          <w:b/>
          <w:color w:val="0000FF"/>
          <w:sz w:val="22"/>
          <w:szCs w:val="22"/>
          <w:lang w:eastAsia="fr-FR"/>
        </w:rPr>
        <w:t xml:space="preserve"> </w:t>
      </w:r>
      <w:r w:rsidR="00DE0AC1">
        <w:rPr>
          <w:b/>
          <w:color w:val="0000FF"/>
          <w:sz w:val="22"/>
          <w:szCs w:val="22"/>
          <w:lang w:eastAsia="fr-FR"/>
        </w:rPr>
        <w:t xml:space="preserve">billion in </w:t>
      </w:r>
      <w:r w:rsidR="00E07E5E">
        <w:rPr>
          <w:b/>
          <w:color w:val="0000FF"/>
          <w:sz w:val="22"/>
          <w:szCs w:val="22"/>
          <w:lang w:eastAsia="fr-FR"/>
        </w:rPr>
        <w:t>Q1 2018</w:t>
      </w:r>
      <w:r w:rsidR="00DE0AC1">
        <w:rPr>
          <w:b/>
          <w:color w:val="0000FF"/>
          <w:sz w:val="22"/>
          <w:szCs w:val="22"/>
          <w:lang w:eastAsia="fr-FR"/>
        </w:rPr>
        <w:t xml:space="preserve">, </w:t>
      </w:r>
      <w:r w:rsidR="008D4DC8">
        <w:rPr>
          <w:b/>
          <w:color w:val="0000FF"/>
          <w:sz w:val="22"/>
          <w:szCs w:val="22"/>
          <w:lang w:eastAsia="fr-FR"/>
        </w:rPr>
        <w:t>up from</w:t>
      </w:r>
      <w:r w:rsidR="00DE0AC1">
        <w:rPr>
          <w:b/>
          <w:color w:val="0000FF"/>
          <w:sz w:val="22"/>
          <w:szCs w:val="22"/>
          <w:lang w:eastAsia="fr-FR"/>
        </w:rPr>
        <w:t xml:space="preserve"> EUR </w:t>
      </w:r>
      <w:r w:rsidR="004971B0">
        <w:rPr>
          <w:b/>
          <w:color w:val="0000FF"/>
          <w:sz w:val="22"/>
          <w:szCs w:val="22"/>
          <w:lang w:eastAsia="fr-FR"/>
        </w:rPr>
        <w:t xml:space="preserve">9 </w:t>
      </w:r>
      <w:r w:rsidR="00DE0AC1">
        <w:rPr>
          <w:b/>
          <w:color w:val="0000FF"/>
          <w:sz w:val="22"/>
          <w:szCs w:val="22"/>
          <w:lang w:eastAsia="fr-FR"/>
        </w:rPr>
        <w:t xml:space="preserve">billion in </w:t>
      </w:r>
      <w:r w:rsidR="0056452B">
        <w:rPr>
          <w:b/>
          <w:color w:val="0000FF"/>
          <w:sz w:val="22"/>
          <w:szCs w:val="22"/>
          <w:lang w:eastAsia="fr-FR"/>
        </w:rPr>
        <w:t xml:space="preserve">Q4 </w:t>
      </w:r>
      <w:r w:rsidR="00E07E5E">
        <w:rPr>
          <w:b/>
          <w:color w:val="0000FF"/>
          <w:sz w:val="22"/>
          <w:szCs w:val="22"/>
          <w:lang w:eastAsia="fr-FR"/>
        </w:rPr>
        <w:t>2017</w:t>
      </w:r>
      <w:r w:rsidR="00DE0AC1">
        <w:rPr>
          <w:b/>
          <w:color w:val="0000FF"/>
          <w:sz w:val="22"/>
          <w:szCs w:val="22"/>
          <w:lang w:eastAsia="fr-FR"/>
        </w:rPr>
        <w:t>.</w:t>
      </w:r>
      <w:r w:rsidR="007B1BDC">
        <w:rPr>
          <w:b/>
          <w:color w:val="0000FF"/>
          <w:sz w:val="22"/>
          <w:szCs w:val="22"/>
          <w:lang w:eastAsia="fr-FR"/>
        </w:rPr>
        <w:t xml:space="preserve"> Net sales of UCITS ETF </w:t>
      </w:r>
      <w:r w:rsidR="004971B0">
        <w:rPr>
          <w:b/>
          <w:color w:val="0000FF"/>
          <w:sz w:val="22"/>
          <w:szCs w:val="22"/>
          <w:lang w:eastAsia="fr-FR"/>
        </w:rPr>
        <w:t xml:space="preserve">in Q1 2018 </w:t>
      </w:r>
      <w:r w:rsidR="007B1BDC">
        <w:rPr>
          <w:b/>
          <w:color w:val="0000FF"/>
          <w:sz w:val="22"/>
          <w:szCs w:val="22"/>
          <w:lang w:eastAsia="fr-FR"/>
        </w:rPr>
        <w:t>amounted to 13.5% of the total net sales of UCITS.</w:t>
      </w:r>
    </w:p>
    <w:p w:rsidR="008A4F4B" w:rsidRDefault="008A4F4B" w:rsidP="008A4F4B">
      <w:pPr>
        <w:spacing w:line="260" w:lineRule="atLeast"/>
        <w:jc w:val="both"/>
        <w:rPr>
          <w:b/>
          <w:color w:val="0000FF"/>
          <w:sz w:val="22"/>
          <w:szCs w:val="22"/>
          <w:lang w:eastAsia="fr-FR"/>
        </w:rPr>
      </w:pPr>
    </w:p>
    <w:p w:rsidR="00B32A53" w:rsidRDefault="007B1BDC" w:rsidP="00816BD4">
      <w:pPr>
        <w:spacing w:line="260" w:lineRule="atLeast"/>
        <w:jc w:val="both"/>
        <w:rPr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 xml:space="preserve">Of the largest UCITS ETF domiciles, </w:t>
      </w:r>
      <w:r w:rsidR="000B25BE">
        <w:rPr>
          <w:sz w:val="22"/>
          <w:szCs w:val="22"/>
          <w:lang w:eastAsia="fr-FR"/>
        </w:rPr>
        <w:t xml:space="preserve">Luxembourg </w:t>
      </w:r>
      <w:r w:rsidR="009A088F">
        <w:rPr>
          <w:sz w:val="22"/>
          <w:szCs w:val="22"/>
          <w:lang w:eastAsia="fr-FR"/>
        </w:rPr>
        <w:t>registered</w:t>
      </w:r>
      <w:r w:rsidR="00B32A53">
        <w:rPr>
          <w:sz w:val="22"/>
          <w:szCs w:val="22"/>
          <w:lang w:eastAsia="fr-FR"/>
        </w:rPr>
        <w:t xml:space="preserve"> the largest in</w:t>
      </w:r>
      <w:r w:rsidR="004971B0">
        <w:rPr>
          <w:sz w:val="22"/>
          <w:szCs w:val="22"/>
          <w:lang w:eastAsia="fr-FR"/>
        </w:rPr>
        <w:t xml:space="preserve">flows </w:t>
      </w:r>
      <w:r w:rsidR="000B25BE">
        <w:rPr>
          <w:sz w:val="22"/>
          <w:szCs w:val="22"/>
          <w:lang w:eastAsia="fr-FR"/>
        </w:rPr>
        <w:t>(EUR 22.4</w:t>
      </w:r>
      <w:r w:rsidR="00B32A53">
        <w:rPr>
          <w:sz w:val="22"/>
          <w:szCs w:val="22"/>
          <w:lang w:eastAsia="fr-FR"/>
        </w:rPr>
        <w:t xml:space="preserve"> billion)</w:t>
      </w:r>
      <w:r w:rsidR="00C53DD8">
        <w:rPr>
          <w:sz w:val="22"/>
          <w:szCs w:val="22"/>
          <w:lang w:eastAsia="fr-FR"/>
        </w:rPr>
        <w:t>.</w:t>
      </w:r>
      <w:r w:rsidR="00B32A53">
        <w:rPr>
          <w:sz w:val="22"/>
          <w:szCs w:val="22"/>
          <w:lang w:eastAsia="fr-FR"/>
        </w:rPr>
        <w:t xml:space="preserve"> </w:t>
      </w:r>
      <w:r w:rsidR="00C53DD8" w:rsidRPr="00C53DD8">
        <w:rPr>
          <w:sz w:val="22"/>
          <w:szCs w:val="22"/>
          <w:lang w:eastAsia="fr-FR"/>
        </w:rPr>
        <w:t xml:space="preserve">Ireland attracted </w:t>
      </w:r>
      <w:r w:rsidR="008D4DC8">
        <w:rPr>
          <w:sz w:val="22"/>
          <w:szCs w:val="22"/>
          <w:lang w:eastAsia="fr-FR"/>
        </w:rPr>
        <w:t xml:space="preserve">EUR </w:t>
      </w:r>
      <w:r w:rsidR="00C53DD8" w:rsidRPr="00C53DD8">
        <w:rPr>
          <w:sz w:val="22"/>
          <w:szCs w:val="22"/>
          <w:lang w:eastAsia="fr-FR"/>
        </w:rPr>
        <w:t xml:space="preserve">12.4 billion in </w:t>
      </w:r>
      <w:r w:rsidR="00C53DD8">
        <w:rPr>
          <w:sz w:val="22"/>
          <w:szCs w:val="22"/>
          <w:lang w:eastAsia="fr-FR"/>
        </w:rPr>
        <w:t xml:space="preserve">net </w:t>
      </w:r>
      <w:r w:rsidR="00C53DD8" w:rsidRPr="00C53DD8">
        <w:rPr>
          <w:sz w:val="22"/>
          <w:szCs w:val="22"/>
          <w:lang w:eastAsia="fr-FR"/>
        </w:rPr>
        <w:t>inflows</w:t>
      </w:r>
      <w:r w:rsidR="008D4DC8">
        <w:rPr>
          <w:sz w:val="22"/>
          <w:szCs w:val="22"/>
          <w:lang w:eastAsia="fr-FR"/>
        </w:rPr>
        <w:t xml:space="preserve"> and Germany EUR 1.6 billion. </w:t>
      </w:r>
      <w:r w:rsidR="000B25BE">
        <w:rPr>
          <w:sz w:val="22"/>
          <w:szCs w:val="22"/>
          <w:lang w:eastAsia="fr-FR"/>
        </w:rPr>
        <w:t>France</w:t>
      </w:r>
      <w:r w:rsidR="00453FC1">
        <w:rPr>
          <w:sz w:val="22"/>
          <w:szCs w:val="22"/>
          <w:lang w:eastAsia="fr-FR"/>
        </w:rPr>
        <w:t>,</w:t>
      </w:r>
      <w:r w:rsidR="000B25BE">
        <w:rPr>
          <w:sz w:val="22"/>
          <w:szCs w:val="22"/>
          <w:lang w:eastAsia="fr-FR"/>
        </w:rPr>
        <w:t xml:space="preserve"> </w:t>
      </w:r>
      <w:r>
        <w:rPr>
          <w:sz w:val="22"/>
          <w:szCs w:val="22"/>
          <w:lang w:eastAsia="fr-FR"/>
        </w:rPr>
        <w:t>on the other hand</w:t>
      </w:r>
      <w:r w:rsidR="00453FC1">
        <w:rPr>
          <w:sz w:val="22"/>
          <w:szCs w:val="22"/>
          <w:lang w:eastAsia="fr-FR"/>
        </w:rPr>
        <w:t>,</w:t>
      </w:r>
      <w:r>
        <w:rPr>
          <w:sz w:val="22"/>
          <w:szCs w:val="22"/>
          <w:lang w:eastAsia="fr-FR"/>
        </w:rPr>
        <w:t xml:space="preserve"> recorded net outflows </w:t>
      </w:r>
      <w:r w:rsidR="00453FC1">
        <w:rPr>
          <w:sz w:val="22"/>
          <w:szCs w:val="22"/>
          <w:lang w:eastAsia="fr-FR"/>
        </w:rPr>
        <w:t xml:space="preserve">of </w:t>
      </w:r>
      <w:r>
        <w:rPr>
          <w:sz w:val="22"/>
          <w:szCs w:val="22"/>
          <w:lang w:eastAsia="fr-FR"/>
        </w:rPr>
        <w:t>EUR 13.5 billion.</w:t>
      </w:r>
    </w:p>
    <w:p w:rsidR="00C53DD8" w:rsidRDefault="00C53DD8" w:rsidP="00816BD4">
      <w:pPr>
        <w:spacing w:line="260" w:lineRule="atLeast"/>
        <w:jc w:val="both"/>
        <w:rPr>
          <w:sz w:val="22"/>
          <w:szCs w:val="22"/>
          <w:lang w:eastAsia="fr-FR"/>
        </w:rPr>
      </w:pPr>
    </w:p>
    <w:p w:rsidR="00C53DD8" w:rsidRDefault="00C53DD8" w:rsidP="00816BD4">
      <w:pPr>
        <w:spacing w:line="260" w:lineRule="atLeast"/>
        <w:jc w:val="both"/>
        <w:rPr>
          <w:sz w:val="22"/>
          <w:szCs w:val="22"/>
          <w:lang w:eastAsia="fr-FR"/>
        </w:rPr>
      </w:pPr>
    </w:p>
    <w:p w:rsidR="00D168DE" w:rsidRPr="00C53DD8" w:rsidRDefault="009C7A58" w:rsidP="00C53DD8">
      <w:pPr>
        <w:spacing w:line="260" w:lineRule="atLeast"/>
        <w:jc w:val="both"/>
        <w:rPr>
          <w:sz w:val="22"/>
          <w:szCs w:val="22"/>
          <w:lang w:eastAsia="fr-FR"/>
        </w:rPr>
      </w:pPr>
      <w:r w:rsidRPr="009C7A58">
        <w:rPr>
          <w:noProof/>
          <w:lang w:val="nl-BE" w:eastAsia="nl-BE"/>
        </w:rPr>
        <w:drawing>
          <wp:anchor distT="0" distB="0" distL="114300" distR="114300" simplePos="0" relativeHeight="25174016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4644000" cy="3531600"/>
            <wp:effectExtent l="0" t="0" r="444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4000" cy="353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68DE" w:rsidRPr="00D168DE" w:rsidRDefault="00D168DE" w:rsidP="00D168DE"/>
    <w:p w:rsidR="00D168DE" w:rsidRPr="00D168DE" w:rsidRDefault="00D168DE" w:rsidP="00D168DE"/>
    <w:p w:rsidR="00D168DE" w:rsidRPr="00D168DE" w:rsidRDefault="00D168DE" w:rsidP="00D168DE"/>
    <w:p w:rsidR="00D168DE" w:rsidRPr="00D168DE" w:rsidRDefault="00D168DE" w:rsidP="00D168DE"/>
    <w:p w:rsidR="00D168DE" w:rsidRPr="00D168DE" w:rsidRDefault="00D168DE" w:rsidP="00D168DE"/>
    <w:p w:rsidR="00D168DE" w:rsidRPr="00D168DE" w:rsidRDefault="00D168DE" w:rsidP="00D168DE"/>
    <w:p w:rsidR="00D168DE" w:rsidRPr="00D168DE" w:rsidRDefault="00D168DE" w:rsidP="00D168DE"/>
    <w:p w:rsidR="00D168DE" w:rsidRPr="00D168DE" w:rsidRDefault="00D168DE" w:rsidP="00D168DE"/>
    <w:p w:rsidR="00D168DE" w:rsidRPr="00D168DE" w:rsidRDefault="00D168DE" w:rsidP="00D168DE"/>
    <w:p w:rsidR="00D168DE" w:rsidRPr="00D168DE" w:rsidRDefault="00D168DE" w:rsidP="00D168DE"/>
    <w:p w:rsidR="00D168DE" w:rsidRPr="00D168DE" w:rsidRDefault="00D168DE" w:rsidP="00D168DE"/>
    <w:p w:rsidR="00D168DE" w:rsidRPr="00D168DE" w:rsidRDefault="00D168DE" w:rsidP="00D168DE"/>
    <w:p w:rsidR="00D168DE" w:rsidRPr="00D168DE" w:rsidRDefault="00D168DE" w:rsidP="00D168DE"/>
    <w:p w:rsidR="00D168DE" w:rsidRPr="00D168DE" w:rsidRDefault="00D168DE" w:rsidP="00D168DE"/>
    <w:p w:rsidR="00D168DE" w:rsidRPr="00D168DE" w:rsidRDefault="00D168DE" w:rsidP="00D168DE"/>
    <w:p w:rsidR="00D168DE" w:rsidRDefault="00D168DE" w:rsidP="008A4F4B">
      <w:pPr>
        <w:pStyle w:val="Footer"/>
        <w:tabs>
          <w:tab w:val="left" w:pos="720"/>
          <w:tab w:val="left" w:pos="3960"/>
          <w:tab w:val="left" w:pos="4320"/>
        </w:tabs>
        <w:spacing w:line="260" w:lineRule="exact"/>
        <w:jc w:val="center"/>
        <w:outlineLvl w:val="0"/>
      </w:pPr>
    </w:p>
    <w:p w:rsidR="00D168DE" w:rsidRDefault="00D168DE" w:rsidP="008A4F4B">
      <w:pPr>
        <w:pStyle w:val="Footer"/>
        <w:tabs>
          <w:tab w:val="left" w:pos="720"/>
          <w:tab w:val="left" w:pos="3960"/>
          <w:tab w:val="left" w:pos="4320"/>
        </w:tabs>
        <w:spacing w:line="260" w:lineRule="exact"/>
        <w:jc w:val="center"/>
        <w:outlineLvl w:val="0"/>
      </w:pPr>
    </w:p>
    <w:p w:rsidR="00D168DE" w:rsidRDefault="00D168DE" w:rsidP="00D168DE">
      <w:pPr>
        <w:pStyle w:val="Footer"/>
        <w:tabs>
          <w:tab w:val="clear" w:pos="4320"/>
          <w:tab w:val="clear" w:pos="8640"/>
          <w:tab w:val="left" w:pos="720"/>
          <w:tab w:val="left" w:pos="9120"/>
        </w:tabs>
        <w:spacing w:line="260" w:lineRule="exact"/>
        <w:outlineLvl w:val="0"/>
      </w:pPr>
      <w:r>
        <w:tab/>
      </w:r>
      <w:r>
        <w:tab/>
      </w:r>
    </w:p>
    <w:p w:rsidR="00A80A41" w:rsidRPr="001B65E9" w:rsidRDefault="00635EBC" w:rsidP="008A4F4B">
      <w:pPr>
        <w:pStyle w:val="Footer"/>
        <w:tabs>
          <w:tab w:val="left" w:pos="720"/>
          <w:tab w:val="left" w:pos="3960"/>
          <w:tab w:val="left" w:pos="4320"/>
        </w:tabs>
        <w:spacing w:line="260" w:lineRule="exact"/>
        <w:jc w:val="cen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val="nl-BE" w:eastAsia="nl-BE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422910</wp:posOffset>
            </wp:positionV>
            <wp:extent cx="4644000" cy="3150000"/>
            <wp:effectExtent l="0" t="0" r="4445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4000" cy="315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4F4B" w:rsidRPr="00D168DE">
        <w:br w:type="page"/>
      </w:r>
      <w:r w:rsidR="00A80A41" w:rsidRPr="001B65E9"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Trends in the UCITS Market</w:t>
      </w:r>
    </w:p>
    <w:p w:rsidR="00A80A41" w:rsidRPr="001B65E9" w:rsidRDefault="00A80A41" w:rsidP="00104F7D">
      <w:pPr>
        <w:pStyle w:val="Footer"/>
        <w:jc w:val="center"/>
        <w:outlineLvl w:val="0"/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B65E9"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Net Assets by Investment Type</w:t>
      </w:r>
    </w:p>
    <w:p w:rsidR="00A80A41" w:rsidRDefault="00A80A41" w:rsidP="00A80A41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color w:val="000000"/>
          <w:sz w:val="22"/>
          <w:szCs w:val="22"/>
          <w:lang w:val="en-US"/>
        </w:rPr>
      </w:pPr>
    </w:p>
    <w:p w:rsidR="001E7DA7" w:rsidRDefault="005F3159" w:rsidP="00F54A67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b/>
          <w:color w:val="0000FF"/>
          <w:sz w:val="22"/>
          <w:szCs w:val="22"/>
          <w:lang w:val="en-US"/>
        </w:rPr>
      </w:pPr>
      <w:r>
        <w:rPr>
          <w:b/>
          <w:color w:val="0000FF"/>
          <w:sz w:val="22"/>
          <w:szCs w:val="22"/>
          <w:lang w:val="en-US"/>
        </w:rPr>
        <w:t xml:space="preserve">UCITS </w:t>
      </w:r>
      <w:r w:rsidR="00697ABF">
        <w:rPr>
          <w:b/>
          <w:color w:val="0000FF"/>
          <w:sz w:val="22"/>
          <w:szCs w:val="22"/>
          <w:lang w:val="en-US"/>
        </w:rPr>
        <w:t xml:space="preserve">net assets </w:t>
      </w:r>
      <w:r w:rsidR="001E7DA7">
        <w:rPr>
          <w:b/>
          <w:color w:val="0000FF"/>
          <w:sz w:val="22"/>
          <w:szCs w:val="22"/>
          <w:lang w:val="en-US"/>
        </w:rPr>
        <w:t>de</w:t>
      </w:r>
      <w:r w:rsidR="00490C6B">
        <w:rPr>
          <w:b/>
          <w:color w:val="0000FF"/>
          <w:sz w:val="22"/>
          <w:szCs w:val="22"/>
          <w:lang w:val="en-US"/>
        </w:rPr>
        <w:t xml:space="preserve">creased by </w:t>
      </w:r>
      <w:r w:rsidR="00517D80">
        <w:rPr>
          <w:b/>
          <w:color w:val="0000FF"/>
          <w:sz w:val="22"/>
          <w:szCs w:val="22"/>
          <w:lang w:val="en-US"/>
        </w:rPr>
        <w:t>0.6</w:t>
      </w:r>
      <w:r w:rsidR="007F562C">
        <w:rPr>
          <w:b/>
          <w:color w:val="0000FF"/>
          <w:sz w:val="22"/>
          <w:szCs w:val="22"/>
          <w:lang w:val="en-US"/>
        </w:rPr>
        <w:t xml:space="preserve"> percent</w:t>
      </w:r>
      <w:r w:rsidR="000B6767">
        <w:rPr>
          <w:b/>
          <w:color w:val="0000FF"/>
          <w:sz w:val="22"/>
          <w:szCs w:val="22"/>
          <w:lang w:val="en-US"/>
        </w:rPr>
        <w:t xml:space="preserve"> </w:t>
      </w:r>
      <w:r w:rsidR="00FA6944">
        <w:rPr>
          <w:b/>
          <w:color w:val="0000FF"/>
          <w:sz w:val="22"/>
          <w:szCs w:val="22"/>
          <w:lang w:val="en-US"/>
        </w:rPr>
        <w:t xml:space="preserve">in </w:t>
      </w:r>
      <w:r w:rsidR="001E7DA7">
        <w:rPr>
          <w:b/>
          <w:color w:val="0000FF"/>
          <w:sz w:val="22"/>
          <w:szCs w:val="22"/>
          <w:lang w:val="en-US"/>
        </w:rPr>
        <w:t>Q1 2018</w:t>
      </w:r>
      <w:r w:rsidR="001C57F8">
        <w:rPr>
          <w:b/>
          <w:color w:val="0000FF"/>
          <w:sz w:val="22"/>
          <w:szCs w:val="22"/>
          <w:lang w:val="en-US"/>
        </w:rPr>
        <w:t xml:space="preserve">, </w:t>
      </w:r>
      <w:r w:rsidR="00DD12A5">
        <w:rPr>
          <w:b/>
          <w:color w:val="0000FF"/>
          <w:sz w:val="22"/>
          <w:szCs w:val="22"/>
          <w:lang w:val="en-US"/>
        </w:rPr>
        <w:t xml:space="preserve">to total </w:t>
      </w:r>
      <w:r w:rsidR="001D64CB">
        <w:rPr>
          <w:b/>
          <w:color w:val="0000FF"/>
          <w:sz w:val="22"/>
          <w:szCs w:val="22"/>
          <w:lang w:val="en-US"/>
        </w:rPr>
        <w:t xml:space="preserve">EUR </w:t>
      </w:r>
      <w:r w:rsidR="00DF5FEC">
        <w:rPr>
          <w:b/>
          <w:color w:val="0000FF"/>
          <w:sz w:val="22"/>
          <w:szCs w:val="22"/>
          <w:lang w:val="en-US"/>
        </w:rPr>
        <w:t>9,</w:t>
      </w:r>
      <w:r w:rsidR="00517D80">
        <w:rPr>
          <w:b/>
          <w:color w:val="0000FF"/>
          <w:sz w:val="22"/>
          <w:szCs w:val="22"/>
          <w:lang w:val="en-US"/>
        </w:rPr>
        <w:t>669</w:t>
      </w:r>
      <w:r w:rsidR="00BB420E">
        <w:rPr>
          <w:b/>
          <w:color w:val="0000FF"/>
          <w:sz w:val="22"/>
          <w:szCs w:val="22"/>
          <w:lang w:val="en-US"/>
        </w:rPr>
        <w:t xml:space="preserve"> </w:t>
      </w:r>
      <w:r w:rsidR="00DF5FEC">
        <w:rPr>
          <w:b/>
          <w:color w:val="0000FF"/>
          <w:sz w:val="22"/>
          <w:szCs w:val="22"/>
          <w:lang w:val="en-US"/>
        </w:rPr>
        <w:t>b</w:t>
      </w:r>
      <w:r w:rsidR="000D2E16">
        <w:rPr>
          <w:b/>
          <w:color w:val="0000FF"/>
          <w:sz w:val="22"/>
          <w:szCs w:val="22"/>
          <w:lang w:val="en-US"/>
        </w:rPr>
        <w:t>illion</w:t>
      </w:r>
      <w:r w:rsidR="0060036C">
        <w:rPr>
          <w:b/>
          <w:color w:val="0000FF"/>
          <w:sz w:val="22"/>
          <w:szCs w:val="22"/>
          <w:lang w:val="en-US"/>
        </w:rPr>
        <w:t xml:space="preserve"> at end </w:t>
      </w:r>
      <w:r w:rsidR="001E7DA7">
        <w:rPr>
          <w:b/>
          <w:color w:val="0000FF"/>
          <w:sz w:val="22"/>
          <w:szCs w:val="22"/>
          <w:lang w:val="en-US"/>
        </w:rPr>
        <w:t>March 2018</w:t>
      </w:r>
      <w:r w:rsidR="00130439">
        <w:rPr>
          <w:b/>
          <w:color w:val="0000FF"/>
          <w:sz w:val="22"/>
          <w:szCs w:val="22"/>
          <w:lang w:val="en-US"/>
        </w:rPr>
        <w:t>.</w:t>
      </w:r>
      <w:r w:rsidR="009D5D6A">
        <w:rPr>
          <w:b/>
          <w:color w:val="0000FF"/>
          <w:sz w:val="22"/>
          <w:szCs w:val="22"/>
          <w:lang w:val="en-US"/>
        </w:rPr>
        <w:t xml:space="preserve"> </w:t>
      </w:r>
      <w:r w:rsidR="004344E7">
        <w:rPr>
          <w:b/>
          <w:color w:val="0000FF"/>
          <w:sz w:val="22"/>
          <w:szCs w:val="22"/>
          <w:lang w:val="en-US"/>
        </w:rPr>
        <w:t>The de</w:t>
      </w:r>
      <w:r w:rsidR="00090F82">
        <w:rPr>
          <w:b/>
          <w:color w:val="0000FF"/>
          <w:sz w:val="22"/>
          <w:szCs w:val="22"/>
          <w:lang w:val="en-US"/>
        </w:rPr>
        <w:t xml:space="preserve">cline in net assets reflected falls in stock and bond prices, which had a stronger impact than the </w:t>
      </w:r>
      <w:r w:rsidR="00DD12A5">
        <w:rPr>
          <w:b/>
          <w:color w:val="0000FF"/>
          <w:sz w:val="22"/>
          <w:szCs w:val="22"/>
          <w:lang w:val="en-US"/>
        </w:rPr>
        <w:t>robust</w:t>
      </w:r>
      <w:r w:rsidR="00090F82">
        <w:rPr>
          <w:b/>
          <w:color w:val="0000FF"/>
          <w:sz w:val="22"/>
          <w:szCs w:val="22"/>
          <w:lang w:val="en-US"/>
        </w:rPr>
        <w:t xml:space="preserve"> sales volume. </w:t>
      </w:r>
    </w:p>
    <w:p w:rsidR="00090F82" w:rsidRDefault="00090F82" w:rsidP="00F54A67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color w:val="000000"/>
          <w:sz w:val="22"/>
          <w:szCs w:val="22"/>
          <w:lang w:val="en-US"/>
        </w:rPr>
      </w:pPr>
    </w:p>
    <w:p w:rsidR="001E7DA7" w:rsidRPr="004F166A" w:rsidRDefault="0060416E" w:rsidP="001E7DA7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Of the major fund categories, o</w:t>
      </w:r>
      <w:r w:rsidR="001C57F8">
        <w:rPr>
          <w:color w:val="000000"/>
          <w:sz w:val="22"/>
          <w:szCs w:val="22"/>
          <w:lang w:val="en-US"/>
        </w:rPr>
        <w:t>nly m</w:t>
      </w:r>
      <w:r w:rsidR="00A37832" w:rsidRPr="00A37832">
        <w:rPr>
          <w:color w:val="000000"/>
          <w:sz w:val="22"/>
          <w:szCs w:val="22"/>
          <w:lang w:val="en-US"/>
        </w:rPr>
        <w:t xml:space="preserve">ulti-asset funds recorded </w:t>
      </w:r>
      <w:r>
        <w:rPr>
          <w:color w:val="000000"/>
          <w:sz w:val="22"/>
          <w:szCs w:val="22"/>
          <w:lang w:val="en-US"/>
        </w:rPr>
        <w:t xml:space="preserve">an </w:t>
      </w:r>
      <w:r w:rsidR="00A37832">
        <w:rPr>
          <w:color w:val="000000"/>
          <w:sz w:val="22"/>
          <w:szCs w:val="22"/>
          <w:lang w:val="en-US"/>
        </w:rPr>
        <w:t xml:space="preserve">increase </w:t>
      </w:r>
      <w:r>
        <w:rPr>
          <w:color w:val="000000"/>
          <w:sz w:val="22"/>
          <w:szCs w:val="22"/>
          <w:lang w:val="en-US"/>
        </w:rPr>
        <w:t xml:space="preserve">in net assets in Q1 2018 </w:t>
      </w:r>
      <w:r w:rsidR="00A37832">
        <w:rPr>
          <w:color w:val="000000"/>
          <w:sz w:val="22"/>
          <w:szCs w:val="22"/>
          <w:lang w:val="en-US"/>
        </w:rPr>
        <w:t>(</w:t>
      </w:r>
      <w:r>
        <w:rPr>
          <w:color w:val="000000"/>
          <w:sz w:val="22"/>
          <w:szCs w:val="22"/>
          <w:lang w:val="en-US"/>
        </w:rPr>
        <w:t xml:space="preserve">0.5%). </w:t>
      </w:r>
      <w:r w:rsidR="008E2EF5">
        <w:rPr>
          <w:color w:val="000000"/>
          <w:sz w:val="22"/>
          <w:szCs w:val="22"/>
          <w:lang w:val="en-US"/>
        </w:rPr>
        <w:t>The other types of funds registered decreases in net assets</w:t>
      </w:r>
      <w:r w:rsidR="00AE7348">
        <w:rPr>
          <w:color w:val="000000"/>
          <w:sz w:val="22"/>
          <w:szCs w:val="22"/>
          <w:lang w:val="en-US"/>
        </w:rPr>
        <w:t xml:space="preserve">. </w:t>
      </w:r>
      <w:r w:rsidRPr="0060416E">
        <w:rPr>
          <w:color w:val="000000"/>
          <w:sz w:val="22"/>
          <w:szCs w:val="22"/>
          <w:lang w:val="en-US"/>
        </w:rPr>
        <w:t>Guaranteed/protected funds</w:t>
      </w:r>
      <w:r w:rsidR="001E7DA7">
        <w:rPr>
          <w:color w:val="000000"/>
          <w:sz w:val="22"/>
          <w:szCs w:val="22"/>
          <w:lang w:val="en-US"/>
        </w:rPr>
        <w:t xml:space="preserve"> recorded the larg</w:t>
      </w:r>
      <w:r>
        <w:rPr>
          <w:color w:val="000000"/>
          <w:sz w:val="22"/>
          <w:szCs w:val="22"/>
          <w:lang w:val="en-US"/>
        </w:rPr>
        <w:t>est decrease in net assets (6.5</w:t>
      </w:r>
      <w:r w:rsidR="001E7DA7">
        <w:rPr>
          <w:color w:val="000000"/>
          <w:sz w:val="22"/>
          <w:szCs w:val="22"/>
          <w:lang w:val="en-US"/>
        </w:rPr>
        <w:t>%), followed by</w:t>
      </w:r>
      <w:r w:rsidR="00A37832">
        <w:rPr>
          <w:color w:val="000000"/>
          <w:sz w:val="22"/>
          <w:szCs w:val="22"/>
          <w:lang w:val="en-US"/>
        </w:rPr>
        <w:t xml:space="preserve"> </w:t>
      </w:r>
      <w:r w:rsidR="001C57F8">
        <w:rPr>
          <w:color w:val="000000"/>
          <w:sz w:val="22"/>
          <w:szCs w:val="22"/>
          <w:lang w:val="en-US"/>
        </w:rPr>
        <w:t>equity funds (1.4%</w:t>
      </w:r>
      <w:r w:rsidR="00825E97">
        <w:rPr>
          <w:color w:val="000000"/>
          <w:sz w:val="22"/>
          <w:szCs w:val="22"/>
          <w:lang w:val="en-US"/>
        </w:rPr>
        <w:t>)</w:t>
      </w:r>
      <w:r>
        <w:rPr>
          <w:color w:val="000000"/>
          <w:sz w:val="22"/>
          <w:szCs w:val="22"/>
          <w:lang w:val="en-US"/>
        </w:rPr>
        <w:t xml:space="preserve">, </w:t>
      </w:r>
      <w:r w:rsidR="001C57F8">
        <w:rPr>
          <w:color w:val="000000"/>
          <w:sz w:val="22"/>
          <w:szCs w:val="22"/>
          <w:lang w:val="en-US"/>
        </w:rPr>
        <w:t>money market funds</w:t>
      </w:r>
      <w:r w:rsidR="00825E97">
        <w:rPr>
          <w:color w:val="000000"/>
          <w:sz w:val="22"/>
          <w:szCs w:val="22"/>
          <w:lang w:val="en-US"/>
        </w:rPr>
        <w:t xml:space="preserve"> </w:t>
      </w:r>
      <w:r w:rsidR="001C57F8">
        <w:rPr>
          <w:color w:val="000000"/>
          <w:sz w:val="22"/>
          <w:szCs w:val="22"/>
          <w:lang w:val="en-US"/>
        </w:rPr>
        <w:t>(0.7%)</w:t>
      </w:r>
      <w:r>
        <w:rPr>
          <w:color w:val="000000"/>
          <w:sz w:val="22"/>
          <w:szCs w:val="22"/>
          <w:lang w:val="en-US"/>
        </w:rPr>
        <w:t xml:space="preserve"> and bond funds (0.2%).</w:t>
      </w:r>
    </w:p>
    <w:p w:rsidR="00C005C0" w:rsidRPr="008E2EF5" w:rsidRDefault="00C005C0" w:rsidP="00F54A67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color w:val="000000"/>
          <w:sz w:val="22"/>
          <w:szCs w:val="22"/>
          <w:lang w:val="en-US"/>
        </w:rPr>
      </w:pPr>
    </w:p>
    <w:p w:rsidR="00864033" w:rsidRDefault="00A7658E" w:rsidP="00864033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color w:val="000000"/>
          <w:sz w:val="22"/>
          <w:szCs w:val="22"/>
          <w:lang w:val="en-US"/>
        </w:rPr>
      </w:pPr>
      <w:r w:rsidRPr="00C43CED">
        <w:rPr>
          <w:color w:val="000000"/>
          <w:sz w:val="22"/>
          <w:szCs w:val="22"/>
          <w:lang w:val="en-US"/>
        </w:rPr>
        <w:t>The number of UCITS</w:t>
      </w:r>
      <w:r w:rsidR="00EA7631">
        <w:rPr>
          <w:color w:val="000000"/>
          <w:sz w:val="22"/>
          <w:szCs w:val="22"/>
          <w:lang w:val="en-US"/>
        </w:rPr>
        <w:t xml:space="preserve"> funds </w:t>
      </w:r>
      <w:r w:rsidR="00B422FC">
        <w:rPr>
          <w:color w:val="000000"/>
          <w:sz w:val="22"/>
          <w:szCs w:val="22"/>
          <w:lang w:val="en-US"/>
        </w:rPr>
        <w:t>in</w:t>
      </w:r>
      <w:r w:rsidR="00931CC4">
        <w:rPr>
          <w:color w:val="000000"/>
          <w:sz w:val="22"/>
          <w:szCs w:val="22"/>
          <w:lang w:val="en-US"/>
        </w:rPr>
        <w:t>creased</w:t>
      </w:r>
      <w:r w:rsidR="0012416B">
        <w:rPr>
          <w:color w:val="000000"/>
          <w:sz w:val="22"/>
          <w:szCs w:val="22"/>
          <w:lang w:val="en-US"/>
        </w:rPr>
        <w:t xml:space="preserve"> from </w:t>
      </w:r>
      <w:r w:rsidR="001802F4">
        <w:rPr>
          <w:color w:val="000000"/>
          <w:sz w:val="22"/>
          <w:szCs w:val="22"/>
          <w:lang w:val="en-US"/>
        </w:rPr>
        <w:t>32</w:t>
      </w:r>
      <w:r w:rsidR="00E303FC">
        <w:rPr>
          <w:color w:val="000000"/>
          <w:sz w:val="22"/>
          <w:szCs w:val="22"/>
          <w:lang w:val="en-US"/>
        </w:rPr>
        <w:t>,</w:t>
      </w:r>
      <w:r w:rsidR="001802F4">
        <w:rPr>
          <w:color w:val="000000"/>
          <w:sz w:val="22"/>
          <w:szCs w:val="22"/>
          <w:lang w:val="en-US"/>
        </w:rPr>
        <w:t>02</w:t>
      </w:r>
      <w:r w:rsidR="009410F3">
        <w:rPr>
          <w:color w:val="000000"/>
          <w:sz w:val="22"/>
          <w:szCs w:val="22"/>
          <w:lang w:val="en-US"/>
        </w:rPr>
        <w:t>6</w:t>
      </w:r>
      <w:r w:rsidR="00BB420E">
        <w:rPr>
          <w:color w:val="000000"/>
          <w:sz w:val="22"/>
          <w:szCs w:val="22"/>
          <w:lang w:val="en-US"/>
        </w:rPr>
        <w:t xml:space="preserve"> </w:t>
      </w:r>
      <w:r w:rsidR="0060036C">
        <w:rPr>
          <w:color w:val="000000"/>
          <w:sz w:val="22"/>
          <w:szCs w:val="22"/>
          <w:lang w:val="en-US"/>
        </w:rPr>
        <w:t xml:space="preserve">at end </w:t>
      </w:r>
      <w:r w:rsidR="009410F3">
        <w:rPr>
          <w:color w:val="000000"/>
          <w:sz w:val="22"/>
          <w:szCs w:val="22"/>
          <w:lang w:val="en-US"/>
        </w:rPr>
        <w:t>2017</w:t>
      </w:r>
      <w:r w:rsidR="00EB1631">
        <w:rPr>
          <w:color w:val="000000"/>
          <w:sz w:val="22"/>
          <w:szCs w:val="22"/>
          <w:lang w:val="en-US"/>
        </w:rPr>
        <w:t xml:space="preserve"> to </w:t>
      </w:r>
      <w:r w:rsidR="00B422FC">
        <w:rPr>
          <w:color w:val="000000"/>
          <w:sz w:val="22"/>
          <w:szCs w:val="22"/>
          <w:lang w:val="en-US"/>
        </w:rPr>
        <w:t>32,343</w:t>
      </w:r>
      <w:r w:rsidR="00BB420E">
        <w:rPr>
          <w:color w:val="000000"/>
          <w:sz w:val="22"/>
          <w:szCs w:val="22"/>
          <w:lang w:val="en-US"/>
        </w:rPr>
        <w:t xml:space="preserve"> </w:t>
      </w:r>
      <w:r w:rsidR="0060036C">
        <w:rPr>
          <w:color w:val="000000"/>
          <w:sz w:val="22"/>
          <w:szCs w:val="22"/>
          <w:lang w:val="en-US"/>
        </w:rPr>
        <w:t xml:space="preserve">at end </w:t>
      </w:r>
      <w:r w:rsidR="0009375C">
        <w:rPr>
          <w:color w:val="000000"/>
          <w:sz w:val="22"/>
          <w:szCs w:val="22"/>
          <w:lang w:val="en-US"/>
        </w:rPr>
        <w:t>Q1 2018</w:t>
      </w:r>
      <w:r w:rsidR="00EB1631">
        <w:rPr>
          <w:color w:val="000000"/>
          <w:sz w:val="22"/>
          <w:szCs w:val="22"/>
          <w:lang w:val="en-US"/>
        </w:rPr>
        <w:t>.</w:t>
      </w:r>
      <w:r w:rsidR="00FC410F">
        <w:rPr>
          <w:color w:val="000000"/>
          <w:sz w:val="22"/>
          <w:szCs w:val="22"/>
          <w:lang w:val="en-US"/>
        </w:rPr>
        <w:t xml:space="preserve"> </w:t>
      </w:r>
    </w:p>
    <w:p w:rsidR="007A1A7E" w:rsidRPr="00D40D0F" w:rsidRDefault="007A1A7E" w:rsidP="00864033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noProof/>
          <w:color w:val="000000"/>
          <w:sz w:val="22"/>
          <w:szCs w:val="22"/>
          <w:lang w:val="en-US" w:eastAsia="nl-BE"/>
        </w:rPr>
      </w:pPr>
    </w:p>
    <w:p w:rsidR="00D40D0F" w:rsidRPr="00864033" w:rsidRDefault="004344E7" w:rsidP="00864033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color w:val="000000"/>
          <w:sz w:val="22"/>
          <w:szCs w:val="22"/>
          <w:lang w:val="en-US"/>
        </w:rPr>
      </w:pPr>
      <w:r w:rsidRPr="00B422FC">
        <w:rPr>
          <w:noProof/>
          <w:lang w:val="nl-BE" w:eastAsia="nl-BE"/>
        </w:rPr>
        <w:drawing>
          <wp:anchor distT="0" distB="0" distL="114300" distR="114300" simplePos="0" relativeHeight="251767808" behindDoc="0" locked="0" layoutInCell="1" allowOverlap="1" wp14:anchorId="2FCB2697" wp14:editId="1F944566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4572000" cy="71056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710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7A1A7E" w:rsidRPr="00864033" w:rsidRDefault="007A1A7E" w:rsidP="00864033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color w:val="000000"/>
          <w:sz w:val="22"/>
          <w:szCs w:val="22"/>
          <w:lang w:val="en-US"/>
        </w:rPr>
      </w:pPr>
    </w:p>
    <w:p w:rsidR="007A1A7E" w:rsidRPr="00864033" w:rsidRDefault="007A1A7E" w:rsidP="00864033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color w:val="000000"/>
          <w:sz w:val="22"/>
          <w:szCs w:val="22"/>
          <w:lang w:val="en-US"/>
        </w:rPr>
      </w:pPr>
    </w:p>
    <w:p w:rsidR="007A1A7E" w:rsidRPr="00864033" w:rsidRDefault="007A1A7E" w:rsidP="00864033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color w:val="000000"/>
          <w:sz w:val="22"/>
          <w:szCs w:val="22"/>
          <w:lang w:val="en-US"/>
        </w:rPr>
      </w:pPr>
    </w:p>
    <w:p w:rsidR="007A1A7E" w:rsidRPr="00864033" w:rsidRDefault="007A1A7E" w:rsidP="00864033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color w:val="000000"/>
          <w:sz w:val="22"/>
          <w:szCs w:val="22"/>
          <w:lang w:val="en-US"/>
        </w:rPr>
      </w:pPr>
    </w:p>
    <w:p w:rsidR="007A1A7E" w:rsidRPr="00864033" w:rsidRDefault="007A1A7E" w:rsidP="00864033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color w:val="000000"/>
          <w:sz w:val="22"/>
          <w:szCs w:val="22"/>
          <w:lang w:val="en-US"/>
        </w:rPr>
      </w:pPr>
    </w:p>
    <w:p w:rsidR="007A1A7E" w:rsidRPr="00716779" w:rsidRDefault="007A1A7E" w:rsidP="00716779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color w:val="000000"/>
          <w:sz w:val="22"/>
          <w:szCs w:val="22"/>
          <w:lang w:val="en-US"/>
        </w:rPr>
      </w:pPr>
    </w:p>
    <w:p w:rsidR="007A1A7E" w:rsidRPr="00716779" w:rsidRDefault="007A1A7E" w:rsidP="00716779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color w:val="000000"/>
          <w:sz w:val="22"/>
          <w:szCs w:val="22"/>
          <w:lang w:val="en-US"/>
        </w:rPr>
      </w:pPr>
    </w:p>
    <w:p w:rsidR="007A1A7E" w:rsidRPr="00716779" w:rsidRDefault="007A1A7E" w:rsidP="00716779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color w:val="000000"/>
          <w:sz w:val="22"/>
          <w:szCs w:val="22"/>
          <w:lang w:val="en-US"/>
        </w:rPr>
      </w:pPr>
    </w:p>
    <w:p w:rsidR="007A1A7E" w:rsidRPr="00716779" w:rsidRDefault="007A1A7E" w:rsidP="00716779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color w:val="000000"/>
          <w:sz w:val="22"/>
          <w:szCs w:val="22"/>
          <w:lang w:val="en-US"/>
        </w:rPr>
      </w:pPr>
    </w:p>
    <w:p w:rsidR="007A1A7E" w:rsidRPr="00716779" w:rsidRDefault="007A1A7E" w:rsidP="00716779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color w:val="000000"/>
          <w:sz w:val="22"/>
          <w:szCs w:val="22"/>
          <w:lang w:val="en-US"/>
        </w:rPr>
      </w:pPr>
    </w:p>
    <w:p w:rsidR="007A1A7E" w:rsidRPr="00716779" w:rsidRDefault="007A1A7E" w:rsidP="00716779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color w:val="000000"/>
          <w:sz w:val="22"/>
          <w:szCs w:val="22"/>
          <w:lang w:val="en-US"/>
        </w:rPr>
      </w:pPr>
    </w:p>
    <w:p w:rsidR="007A1A7E" w:rsidRPr="00716779" w:rsidRDefault="007A1A7E" w:rsidP="00716779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color w:val="000000"/>
          <w:sz w:val="22"/>
          <w:szCs w:val="22"/>
          <w:lang w:val="en-US"/>
        </w:rPr>
      </w:pPr>
    </w:p>
    <w:p w:rsidR="007A1A7E" w:rsidRPr="00716779" w:rsidRDefault="007A1A7E" w:rsidP="00716779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color w:val="000000"/>
          <w:sz w:val="22"/>
          <w:szCs w:val="22"/>
          <w:lang w:val="en-US"/>
        </w:rPr>
      </w:pPr>
    </w:p>
    <w:p w:rsidR="007A1A7E" w:rsidRPr="00716779" w:rsidRDefault="007A1A7E" w:rsidP="00716779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color w:val="000000"/>
          <w:sz w:val="22"/>
          <w:szCs w:val="22"/>
          <w:lang w:val="en-US"/>
        </w:rPr>
      </w:pPr>
    </w:p>
    <w:p w:rsidR="007A1A7E" w:rsidRPr="00716779" w:rsidRDefault="007A1A7E" w:rsidP="00716779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color w:val="000000"/>
          <w:sz w:val="22"/>
          <w:szCs w:val="22"/>
          <w:lang w:val="en-US"/>
        </w:rPr>
      </w:pPr>
    </w:p>
    <w:p w:rsidR="007A1A7E" w:rsidRPr="00716779" w:rsidRDefault="007A1A7E" w:rsidP="00716779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color w:val="000000"/>
          <w:sz w:val="22"/>
          <w:szCs w:val="22"/>
          <w:lang w:val="en-US"/>
        </w:rPr>
      </w:pPr>
    </w:p>
    <w:p w:rsidR="007A1A7E" w:rsidRPr="00716779" w:rsidRDefault="007A1A7E" w:rsidP="00716779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color w:val="000000"/>
          <w:sz w:val="22"/>
          <w:szCs w:val="22"/>
          <w:lang w:val="en-US"/>
        </w:rPr>
      </w:pPr>
    </w:p>
    <w:p w:rsidR="007A1A7E" w:rsidRPr="00716779" w:rsidRDefault="007A1A7E" w:rsidP="00716779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color w:val="000000"/>
          <w:sz w:val="22"/>
          <w:szCs w:val="22"/>
          <w:lang w:val="en-US"/>
        </w:rPr>
      </w:pPr>
    </w:p>
    <w:p w:rsidR="007A1A7E" w:rsidRPr="00716779" w:rsidRDefault="007A1A7E" w:rsidP="00716779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color w:val="000000"/>
          <w:sz w:val="22"/>
          <w:szCs w:val="22"/>
          <w:lang w:val="en-US"/>
        </w:rPr>
      </w:pPr>
    </w:p>
    <w:p w:rsidR="007A1A7E" w:rsidRPr="00716779" w:rsidRDefault="007A1A7E" w:rsidP="00716779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color w:val="000000"/>
          <w:sz w:val="22"/>
          <w:szCs w:val="22"/>
          <w:lang w:val="en-US"/>
        </w:rPr>
      </w:pPr>
    </w:p>
    <w:p w:rsidR="007A1A7E" w:rsidRPr="00716779" w:rsidRDefault="007A1A7E" w:rsidP="00716779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color w:val="000000"/>
          <w:sz w:val="22"/>
          <w:szCs w:val="22"/>
          <w:lang w:val="en-US"/>
        </w:rPr>
      </w:pPr>
    </w:p>
    <w:p w:rsidR="007A1A7E" w:rsidRPr="00716779" w:rsidRDefault="007A1A7E" w:rsidP="00716779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color w:val="000000"/>
          <w:sz w:val="22"/>
          <w:szCs w:val="22"/>
          <w:lang w:val="en-US"/>
        </w:rPr>
      </w:pPr>
    </w:p>
    <w:p w:rsidR="007A1A7E" w:rsidRPr="00716779" w:rsidRDefault="007A1A7E" w:rsidP="00716779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color w:val="000000"/>
          <w:sz w:val="22"/>
          <w:szCs w:val="22"/>
          <w:lang w:val="en-US"/>
        </w:rPr>
      </w:pPr>
    </w:p>
    <w:p w:rsidR="007A1A7E" w:rsidRPr="00716779" w:rsidRDefault="007A1A7E" w:rsidP="00716779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color w:val="000000"/>
          <w:sz w:val="22"/>
          <w:szCs w:val="22"/>
          <w:lang w:val="en-US"/>
        </w:rPr>
      </w:pPr>
    </w:p>
    <w:p w:rsidR="007A1A7E" w:rsidRPr="00716779" w:rsidRDefault="007A1A7E" w:rsidP="00716779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color w:val="000000"/>
          <w:sz w:val="22"/>
          <w:szCs w:val="22"/>
          <w:lang w:val="en-US"/>
        </w:rPr>
      </w:pPr>
    </w:p>
    <w:p w:rsidR="007A1A7E" w:rsidRPr="00716779" w:rsidRDefault="007A1A7E" w:rsidP="00716779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color w:val="000000"/>
          <w:sz w:val="22"/>
          <w:szCs w:val="22"/>
          <w:lang w:val="en-US"/>
        </w:rPr>
      </w:pPr>
    </w:p>
    <w:p w:rsidR="007A1A7E" w:rsidRPr="00716779" w:rsidRDefault="007A1A7E" w:rsidP="00716779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color w:val="000000"/>
          <w:sz w:val="22"/>
          <w:szCs w:val="22"/>
          <w:lang w:val="en-US"/>
        </w:rPr>
      </w:pPr>
    </w:p>
    <w:p w:rsidR="00BE2045" w:rsidRPr="001B65E9" w:rsidRDefault="007A1A7E" w:rsidP="00716779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color w:val="000000"/>
          <w:sz w:val="22"/>
          <w:szCs w:val="22"/>
          <w:lang w:val="en-US"/>
        </w:rPr>
        <w:br w:type="page"/>
      </w:r>
      <w:r w:rsidR="00D63569">
        <w:rPr>
          <w:color w:val="000000"/>
          <w:sz w:val="22"/>
          <w:szCs w:val="22"/>
          <w:lang w:val="en-US"/>
        </w:rPr>
        <w:t xml:space="preserve">                                                          </w:t>
      </w:r>
      <w:r w:rsidR="00BE2045" w:rsidRPr="001B65E9"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Trends in the UCITS Market</w:t>
      </w:r>
    </w:p>
    <w:p w:rsidR="00BE2045" w:rsidRPr="001B65E9" w:rsidRDefault="00BE2045">
      <w:pPr>
        <w:pStyle w:val="Footer"/>
        <w:jc w:val="center"/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B65E9"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="00054657" w:rsidRPr="001B65E9"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et Assets by Country of Domiciliation</w:t>
      </w:r>
    </w:p>
    <w:bookmarkEnd w:id="0"/>
    <w:p w:rsidR="002265B4" w:rsidRDefault="002265B4" w:rsidP="00761873">
      <w:pPr>
        <w:pStyle w:val="FootnoteText"/>
        <w:jc w:val="both"/>
        <w:rPr>
          <w:bCs/>
          <w:color w:val="000000"/>
          <w:sz w:val="22"/>
          <w:szCs w:val="22"/>
        </w:rPr>
      </w:pPr>
    </w:p>
    <w:p w:rsidR="00221202" w:rsidRPr="00716779" w:rsidRDefault="00716779" w:rsidP="00761873">
      <w:pPr>
        <w:pStyle w:val="FootnoteText"/>
        <w:jc w:val="both"/>
        <w:rPr>
          <w:b/>
          <w:color w:val="0000FF"/>
          <w:sz w:val="22"/>
          <w:szCs w:val="22"/>
        </w:rPr>
      </w:pPr>
      <w:r w:rsidRPr="00716779">
        <w:rPr>
          <w:b/>
          <w:color w:val="0000FF"/>
          <w:sz w:val="22"/>
          <w:szCs w:val="22"/>
        </w:rPr>
        <w:t xml:space="preserve">Net assets of UCITS amounted to EUR 9,669 billion at end March 2018. </w:t>
      </w:r>
      <w:r w:rsidR="002B5177" w:rsidRPr="00716779">
        <w:rPr>
          <w:b/>
          <w:color w:val="0000FF"/>
          <w:sz w:val="22"/>
          <w:szCs w:val="22"/>
        </w:rPr>
        <w:t xml:space="preserve">The vast majority of </w:t>
      </w:r>
      <w:r w:rsidR="003117F0" w:rsidRPr="00716779">
        <w:rPr>
          <w:b/>
          <w:color w:val="0000FF"/>
          <w:sz w:val="22"/>
          <w:szCs w:val="22"/>
        </w:rPr>
        <w:t>domiciles</w:t>
      </w:r>
      <w:r w:rsidR="00262840" w:rsidRPr="00716779">
        <w:rPr>
          <w:b/>
          <w:color w:val="0000FF"/>
          <w:sz w:val="22"/>
          <w:szCs w:val="22"/>
        </w:rPr>
        <w:t xml:space="preserve"> </w:t>
      </w:r>
      <w:r w:rsidR="00A04121" w:rsidRPr="00716779">
        <w:rPr>
          <w:b/>
          <w:color w:val="0000FF"/>
          <w:sz w:val="22"/>
          <w:szCs w:val="22"/>
        </w:rPr>
        <w:t>recorded</w:t>
      </w:r>
      <w:r w:rsidR="002429E3" w:rsidRPr="00716779">
        <w:rPr>
          <w:b/>
          <w:color w:val="0000FF"/>
          <w:sz w:val="22"/>
          <w:szCs w:val="22"/>
        </w:rPr>
        <w:t xml:space="preserve"> </w:t>
      </w:r>
      <w:r w:rsidR="009E07AF" w:rsidRPr="00716779">
        <w:rPr>
          <w:b/>
          <w:color w:val="0000FF"/>
          <w:sz w:val="22"/>
          <w:szCs w:val="22"/>
        </w:rPr>
        <w:t>a decrease in</w:t>
      </w:r>
      <w:r w:rsidR="00AD57BA" w:rsidRPr="00716779">
        <w:rPr>
          <w:b/>
          <w:color w:val="0000FF"/>
          <w:sz w:val="22"/>
          <w:szCs w:val="22"/>
        </w:rPr>
        <w:t xml:space="preserve"> </w:t>
      </w:r>
      <w:r w:rsidRPr="00716779">
        <w:rPr>
          <w:b/>
          <w:color w:val="0000FF"/>
          <w:sz w:val="22"/>
          <w:szCs w:val="22"/>
        </w:rPr>
        <w:t xml:space="preserve">net </w:t>
      </w:r>
      <w:r w:rsidR="00AD57BA" w:rsidRPr="00716779">
        <w:rPr>
          <w:b/>
          <w:color w:val="0000FF"/>
          <w:sz w:val="22"/>
          <w:szCs w:val="22"/>
        </w:rPr>
        <w:t>asset</w:t>
      </w:r>
      <w:r w:rsidR="00825E97">
        <w:rPr>
          <w:b/>
          <w:color w:val="0000FF"/>
          <w:sz w:val="22"/>
          <w:szCs w:val="22"/>
        </w:rPr>
        <w:t>s</w:t>
      </w:r>
      <w:r w:rsidR="00AD57BA" w:rsidRPr="00716779">
        <w:rPr>
          <w:b/>
          <w:color w:val="0000FF"/>
          <w:sz w:val="22"/>
          <w:szCs w:val="22"/>
        </w:rPr>
        <w:t xml:space="preserve"> </w:t>
      </w:r>
      <w:r w:rsidR="006E7943" w:rsidRPr="00716779">
        <w:rPr>
          <w:b/>
          <w:color w:val="0000FF"/>
          <w:sz w:val="22"/>
          <w:szCs w:val="22"/>
        </w:rPr>
        <w:t>in</w:t>
      </w:r>
      <w:r w:rsidR="003117F0" w:rsidRPr="00716779">
        <w:rPr>
          <w:b/>
          <w:color w:val="0000FF"/>
          <w:sz w:val="22"/>
          <w:szCs w:val="22"/>
        </w:rPr>
        <w:t xml:space="preserve"> </w:t>
      </w:r>
      <w:r w:rsidR="00AD57BA" w:rsidRPr="00716779">
        <w:rPr>
          <w:b/>
          <w:color w:val="0000FF"/>
          <w:sz w:val="22"/>
          <w:szCs w:val="22"/>
        </w:rPr>
        <w:t>Q1 2018</w:t>
      </w:r>
      <w:r w:rsidRPr="00716779">
        <w:rPr>
          <w:b/>
          <w:color w:val="0000FF"/>
          <w:sz w:val="22"/>
          <w:szCs w:val="22"/>
        </w:rPr>
        <w:t>.</w:t>
      </w:r>
    </w:p>
    <w:p w:rsidR="00221202" w:rsidRPr="00716779" w:rsidRDefault="008D2FBF" w:rsidP="00761873">
      <w:pPr>
        <w:pStyle w:val="FootnoteText"/>
        <w:jc w:val="both"/>
        <w:rPr>
          <w:b/>
          <w:color w:val="0000FF"/>
          <w:sz w:val="22"/>
          <w:szCs w:val="22"/>
        </w:rPr>
      </w:pPr>
      <w:r>
        <w:rPr>
          <w:b/>
          <w:color w:val="0000FF"/>
          <w:sz w:val="22"/>
          <w:szCs w:val="22"/>
        </w:rPr>
        <w:t xml:space="preserve"> </w:t>
      </w:r>
    </w:p>
    <w:p w:rsidR="00EE53C1" w:rsidRDefault="004F702B">
      <w:pPr>
        <w:pStyle w:val="FootnoteText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Among the larger domiciles, UCITS</w:t>
      </w:r>
      <w:r w:rsidR="008D2FBF">
        <w:rPr>
          <w:bCs/>
          <w:color w:val="000000"/>
          <w:sz w:val="22"/>
          <w:szCs w:val="22"/>
        </w:rPr>
        <w:t xml:space="preserve"> assets</w:t>
      </w:r>
      <w:r w:rsidR="0023059D">
        <w:rPr>
          <w:bCs/>
          <w:color w:val="000000"/>
          <w:sz w:val="22"/>
          <w:szCs w:val="22"/>
        </w:rPr>
        <w:t xml:space="preserve"> </w:t>
      </w:r>
      <w:r w:rsidR="001D0E92">
        <w:rPr>
          <w:bCs/>
          <w:color w:val="000000"/>
          <w:sz w:val="22"/>
          <w:szCs w:val="22"/>
        </w:rPr>
        <w:t>fell in</w:t>
      </w:r>
      <w:r w:rsidR="008D2FBF">
        <w:rPr>
          <w:bCs/>
          <w:color w:val="000000"/>
          <w:sz w:val="22"/>
          <w:szCs w:val="22"/>
        </w:rPr>
        <w:t xml:space="preserve"> </w:t>
      </w:r>
      <w:r w:rsidR="00FC728C">
        <w:rPr>
          <w:bCs/>
          <w:color w:val="000000"/>
          <w:sz w:val="22"/>
          <w:szCs w:val="22"/>
        </w:rPr>
        <w:t>United Kingdom</w:t>
      </w:r>
      <w:r w:rsidR="006E7943">
        <w:rPr>
          <w:bCs/>
          <w:color w:val="000000"/>
          <w:sz w:val="22"/>
          <w:szCs w:val="22"/>
        </w:rPr>
        <w:t xml:space="preserve"> </w:t>
      </w:r>
      <w:r w:rsidR="00AE2B55">
        <w:rPr>
          <w:bCs/>
          <w:color w:val="000000"/>
          <w:sz w:val="22"/>
          <w:szCs w:val="22"/>
        </w:rPr>
        <w:t>(</w:t>
      </w:r>
      <w:r w:rsidR="00D40B92">
        <w:rPr>
          <w:bCs/>
          <w:color w:val="000000"/>
          <w:sz w:val="22"/>
          <w:szCs w:val="22"/>
        </w:rPr>
        <w:t>2.8</w:t>
      </w:r>
      <w:r w:rsidR="00AE2B55">
        <w:rPr>
          <w:bCs/>
          <w:color w:val="000000"/>
          <w:sz w:val="22"/>
          <w:szCs w:val="22"/>
        </w:rPr>
        <w:t>%)</w:t>
      </w:r>
      <w:r w:rsidR="003117F0">
        <w:rPr>
          <w:bCs/>
          <w:color w:val="000000"/>
          <w:sz w:val="22"/>
          <w:szCs w:val="22"/>
        </w:rPr>
        <w:t>,</w:t>
      </w:r>
      <w:r w:rsidR="008B480B">
        <w:rPr>
          <w:bCs/>
          <w:color w:val="000000"/>
          <w:sz w:val="22"/>
          <w:szCs w:val="22"/>
        </w:rPr>
        <w:t xml:space="preserve"> </w:t>
      </w:r>
      <w:r w:rsidR="00FC728C">
        <w:rPr>
          <w:bCs/>
          <w:color w:val="000000"/>
          <w:sz w:val="22"/>
          <w:szCs w:val="22"/>
        </w:rPr>
        <w:t>Germany</w:t>
      </w:r>
      <w:r w:rsidR="00FA05CD" w:rsidRPr="00FA05CD">
        <w:t xml:space="preserve"> </w:t>
      </w:r>
      <w:r w:rsidR="00AE2B55">
        <w:rPr>
          <w:bCs/>
          <w:color w:val="000000"/>
          <w:sz w:val="22"/>
          <w:szCs w:val="22"/>
        </w:rPr>
        <w:t>(</w:t>
      </w:r>
      <w:r w:rsidR="00FA05CD" w:rsidRPr="00FA05CD">
        <w:rPr>
          <w:bCs/>
          <w:color w:val="000000"/>
          <w:sz w:val="22"/>
          <w:szCs w:val="22"/>
        </w:rPr>
        <w:t>0.8%</w:t>
      </w:r>
      <w:r w:rsidR="00AE2B55">
        <w:rPr>
          <w:bCs/>
          <w:color w:val="000000"/>
          <w:sz w:val="22"/>
          <w:szCs w:val="22"/>
        </w:rPr>
        <w:t>), Luxembourg (</w:t>
      </w:r>
      <w:r w:rsidR="00FA05CD">
        <w:rPr>
          <w:bCs/>
          <w:color w:val="000000"/>
          <w:sz w:val="22"/>
          <w:szCs w:val="22"/>
        </w:rPr>
        <w:t>0.4%</w:t>
      </w:r>
      <w:r w:rsidR="00AE2B55">
        <w:rPr>
          <w:bCs/>
          <w:color w:val="000000"/>
          <w:sz w:val="22"/>
          <w:szCs w:val="22"/>
        </w:rPr>
        <w:t xml:space="preserve">) </w:t>
      </w:r>
      <w:r w:rsidR="00C94615">
        <w:rPr>
          <w:bCs/>
          <w:color w:val="000000"/>
          <w:sz w:val="22"/>
          <w:szCs w:val="22"/>
        </w:rPr>
        <w:t xml:space="preserve">and </w:t>
      </w:r>
      <w:r w:rsidR="00FC728C">
        <w:rPr>
          <w:bCs/>
          <w:color w:val="000000"/>
          <w:sz w:val="22"/>
          <w:szCs w:val="22"/>
        </w:rPr>
        <w:t>Ireland</w:t>
      </w:r>
      <w:r w:rsidR="00FA05CD">
        <w:rPr>
          <w:bCs/>
          <w:color w:val="000000"/>
          <w:sz w:val="22"/>
          <w:szCs w:val="22"/>
        </w:rPr>
        <w:t xml:space="preserve"> </w:t>
      </w:r>
      <w:r w:rsidR="00AE2B55">
        <w:rPr>
          <w:bCs/>
          <w:color w:val="000000"/>
          <w:sz w:val="22"/>
          <w:szCs w:val="22"/>
        </w:rPr>
        <w:t>(</w:t>
      </w:r>
      <w:r w:rsidR="00FA05CD">
        <w:rPr>
          <w:bCs/>
          <w:color w:val="000000"/>
          <w:sz w:val="22"/>
          <w:szCs w:val="22"/>
        </w:rPr>
        <w:t>0.3%</w:t>
      </w:r>
      <w:r w:rsidR="00AE2B55">
        <w:rPr>
          <w:bCs/>
          <w:color w:val="000000"/>
          <w:sz w:val="22"/>
          <w:szCs w:val="22"/>
        </w:rPr>
        <w:t>)</w:t>
      </w:r>
      <w:r w:rsidR="00D9468C">
        <w:rPr>
          <w:bCs/>
          <w:color w:val="000000"/>
          <w:sz w:val="22"/>
          <w:szCs w:val="22"/>
        </w:rPr>
        <w:t>.</w:t>
      </w:r>
      <w:r w:rsidR="00FC728C">
        <w:rPr>
          <w:bCs/>
          <w:color w:val="000000"/>
          <w:sz w:val="22"/>
          <w:szCs w:val="22"/>
        </w:rPr>
        <w:t xml:space="preserve"> France was the only major domicile to record </w:t>
      </w:r>
      <w:r w:rsidR="008D2FBF">
        <w:rPr>
          <w:bCs/>
          <w:color w:val="000000"/>
          <w:sz w:val="22"/>
          <w:szCs w:val="22"/>
        </w:rPr>
        <w:t>an increase in UCITS assets</w:t>
      </w:r>
      <w:r>
        <w:rPr>
          <w:bCs/>
          <w:color w:val="000000"/>
          <w:sz w:val="22"/>
          <w:szCs w:val="22"/>
        </w:rPr>
        <w:t xml:space="preserve"> in Q1 2018 </w:t>
      </w:r>
      <w:r w:rsidR="00FC728C">
        <w:rPr>
          <w:bCs/>
          <w:color w:val="000000"/>
          <w:sz w:val="22"/>
          <w:szCs w:val="22"/>
        </w:rPr>
        <w:t>(0.7%)</w:t>
      </w:r>
      <w:r w:rsidR="0060416E">
        <w:rPr>
          <w:bCs/>
          <w:color w:val="000000"/>
          <w:sz w:val="22"/>
          <w:szCs w:val="22"/>
        </w:rPr>
        <w:t>.</w:t>
      </w:r>
    </w:p>
    <w:p w:rsidR="00C94615" w:rsidRDefault="00C94615">
      <w:pPr>
        <w:pStyle w:val="FootnoteText"/>
        <w:jc w:val="both"/>
        <w:rPr>
          <w:bCs/>
          <w:color w:val="000000"/>
          <w:sz w:val="22"/>
          <w:szCs w:val="22"/>
        </w:rPr>
      </w:pPr>
    </w:p>
    <w:p w:rsidR="00C94615" w:rsidRDefault="004F702B" w:rsidP="00C94615">
      <w:pPr>
        <w:pStyle w:val="FootnoteText"/>
        <w:jc w:val="both"/>
        <w:rPr>
          <w:bCs/>
          <w:color w:val="000000"/>
          <w:sz w:val="22"/>
          <w:szCs w:val="22"/>
        </w:rPr>
      </w:pPr>
      <w:r w:rsidRPr="000B06C2">
        <w:rPr>
          <w:bCs/>
          <w:sz w:val="22"/>
          <w:szCs w:val="22"/>
        </w:rPr>
        <w:t xml:space="preserve">The other countries in </w:t>
      </w:r>
      <w:r w:rsidR="00C94615" w:rsidRPr="000B06C2">
        <w:rPr>
          <w:bCs/>
          <w:sz w:val="22"/>
          <w:szCs w:val="22"/>
        </w:rPr>
        <w:t>Western Europe</w:t>
      </w:r>
      <w:r w:rsidR="00325A06" w:rsidRPr="000B06C2">
        <w:rPr>
          <w:bCs/>
          <w:sz w:val="22"/>
          <w:szCs w:val="22"/>
        </w:rPr>
        <w:t xml:space="preserve"> also recorded decreases in net assets</w:t>
      </w:r>
      <w:r w:rsidR="00AE2B55" w:rsidRPr="000B06C2">
        <w:rPr>
          <w:bCs/>
          <w:sz w:val="22"/>
          <w:szCs w:val="22"/>
        </w:rPr>
        <w:t>, whereas</w:t>
      </w:r>
      <w:r w:rsidRPr="000B06C2">
        <w:rPr>
          <w:bCs/>
          <w:sz w:val="22"/>
          <w:szCs w:val="22"/>
        </w:rPr>
        <w:t xml:space="preserve"> UCITS asset</w:t>
      </w:r>
      <w:r w:rsidR="00984AF1">
        <w:rPr>
          <w:bCs/>
          <w:sz w:val="22"/>
          <w:szCs w:val="22"/>
        </w:rPr>
        <w:t>s</w:t>
      </w:r>
      <w:r w:rsidRPr="000B06C2">
        <w:rPr>
          <w:bCs/>
          <w:sz w:val="22"/>
          <w:szCs w:val="22"/>
        </w:rPr>
        <w:t xml:space="preserve"> in most of the countries </w:t>
      </w:r>
      <w:r w:rsidR="00984AF1">
        <w:rPr>
          <w:bCs/>
          <w:sz w:val="22"/>
          <w:szCs w:val="22"/>
        </w:rPr>
        <w:t xml:space="preserve">in </w:t>
      </w:r>
      <w:r w:rsidR="000578E5" w:rsidRPr="000B06C2">
        <w:rPr>
          <w:bCs/>
          <w:sz w:val="22"/>
          <w:szCs w:val="22"/>
        </w:rPr>
        <w:t>Southern Europe</w:t>
      </w:r>
      <w:r w:rsidRPr="000B06C2">
        <w:rPr>
          <w:bCs/>
          <w:sz w:val="22"/>
          <w:szCs w:val="22"/>
        </w:rPr>
        <w:t xml:space="preserve"> increased</w:t>
      </w:r>
      <w:r w:rsidR="000578E5" w:rsidRPr="000B06C2">
        <w:rPr>
          <w:bCs/>
          <w:sz w:val="22"/>
          <w:szCs w:val="22"/>
        </w:rPr>
        <w:t>.</w:t>
      </w:r>
      <w:r w:rsidR="00722B5D" w:rsidRPr="000B06C2">
        <w:rPr>
          <w:bCs/>
          <w:sz w:val="22"/>
          <w:szCs w:val="22"/>
        </w:rPr>
        <w:t xml:space="preserve"> </w:t>
      </w:r>
      <w:r w:rsidR="00790535" w:rsidRPr="000B06C2">
        <w:rPr>
          <w:bCs/>
          <w:sz w:val="22"/>
          <w:szCs w:val="22"/>
        </w:rPr>
        <w:t>I</w:t>
      </w:r>
      <w:r w:rsidR="00790535">
        <w:rPr>
          <w:bCs/>
          <w:color w:val="000000"/>
          <w:sz w:val="22"/>
          <w:szCs w:val="22"/>
        </w:rPr>
        <w:t xml:space="preserve">n </w:t>
      </w:r>
      <w:r w:rsidR="00C94615" w:rsidRPr="00C94615">
        <w:rPr>
          <w:bCs/>
          <w:color w:val="000000"/>
          <w:sz w:val="22"/>
          <w:szCs w:val="22"/>
        </w:rPr>
        <w:t xml:space="preserve">the Nordic countries, </w:t>
      </w:r>
      <w:r w:rsidR="00790535" w:rsidRPr="00C94615">
        <w:rPr>
          <w:bCs/>
          <w:color w:val="000000"/>
          <w:sz w:val="22"/>
          <w:szCs w:val="22"/>
        </w:rPr>
        <w:t xml:space="preserve">Norway </w:t>
      </w:r>
      <w:r w:rsidR="000578E5">
        <w:rPr>
          <w:bCs/>
          <w:color w:val="000000"/>
          <w:sz w:val="22"/>
          <w:szCs w:val="22"/>
        </w:rPr>
        <w:t>was the only country to register a</w:t>
      </w:r>
      <w:r w:rsidR="00C94615" w:rsidRPr="00C94615">
        <w:rPr>
          <w:bCs/>
          <w:color w:val="000000"/>
          <w:sz w:val="22"/>
          <w:szCs w:val="22"/>
        </w:rPr>
        <w:t xml:space="preserve"> net asset increase </w:t>
      </w:r>
      <w:r w:rsidR="00790535">
        <w:rPr>
          <w:bCs/>
          <w:color w:val="000000"/>
          <w:sz w:val="22"/>
          <w:szCs w:val="22"/>
        </w:rPr>
        <w:t>(2.8</w:t>
      </w:r>
      <w:r w:rsidR="00C94615" w:rsidRPr="00C94615">
        <w:rPr>
          <w:bCs/>
          <w:color w:val="000000"/>
          <w:sz w:val="22"/>
          <w:szCs w:val="22"/>
        </w:rPr>
        <w:t>%). In Central and Eastern Europe, the largest increase</w:t>
      </w:r>
      <w:r w:rsidR="000578E5">
        <w:rPr>
          <w:bCs/>
          <w:color w:val="000000"/>
          <w:sz w:val="22"/>
          <w:szCs w:val="22"/>
        </w:rPr>
        <w:t>s</w:t>
      </w:r>
      <w:r w:rsidR="00C94615" w:rsidRPr="00C94615">
        <w:rPr>
          <w:bCs/>
          <w:color w:val="000000"/>
          <w:sz w:val="22"/>
          <w:szCs w:val="22"/>
        </w:rPr>
        <w:t xml:space="preserve"> in net</w:t>
      </w:r>
      <w:r w:rsidR="00AD57BA">
        <w:rPr>
          <w:bCs/>
          <w:color w:val="000000"/>
          <w:sz w:val="22"/>
          <w:szCs w:val="22"/>
        </w:rPr>
        <w:t xml:space="preserve"> assets w</w:t>
      </w:r>
      <w:r w:rsidR="000578E5">
        <w:rPr>
          <w:bCs/>
          <w:color w:val="000000"/>
          <w:sz w:val="22"/>
          <w:szCs w:val="22"/>
        </w:rPr>
        <w:t>ere</w:t>
      </w:r>
      <w:r w:rsidR="00AD57BA">
        <w:rPr>
          <w:bCs/>
          <w:color w:val="000000"/>
          <w:sz w:val="22"/>
          <w:szCs w:val="22"/>
        </w:rPr>
        <w:t xml:space="preserve"> recorded in </w:t>
      </w:r>
      <w:r w:rsidR="00984AF1">
        <w:rPr>
          <w:bCs/>
          <w:color w:val="000000"/>
          <w:sz w:val="22"/>
          <w:szCs w:val="22"/>
        </w:rPr>
        <w:t>Czech Republic</w:t>
      </w:r>
      <w:r w:rsidR="00314097">
        <w:rPr>
          <w:bCs/>
          <w:color w:val="000000"/>
          <w:sz w:val="22"/>
          <w:szCs w:val="22"/>
        </w:rPr>
        <w:t xml:space="preserve"> </w:t>
      </w:r>
      <w:r w:rsidR="00984AF1">
        <w:rPr>
          <w:bCs/>
          <w:color w:val="000000"/>
          <w:sz w:val="22"/>
          <w:szCs w:val="22"/>
        </w:rPr>
        <w:t>(</w:t>
      </w:r>
      <w:r w:rsidR="00AD57BA">
        <w:rPr>
          <w:bCs/>
          <w:color w:val="000000"/>
          <w:sz w:val="22"/>
          <w:szCs w:val="22"/>
        </w:rPr>
        <w:t>1.3</w:t>
      </w:r>
      <w:r w:rsidR="00AD57BA" w:rsidRPr="00C94615">
        <w:rPr>
          <w:bCs/>
          <w:color w:val="000000"/>
          <w:sz w:val="22"/>
          <w:szCs w:val="22"/>
        </w:rPr>
        <w:t>%</w:t>
      </w:r>
      <w:r w:rsidR="00984AF1">
        <w:rPr>
          <w:bCs/>
          <w:color w:val="000000"/>
          <w:sz w:val="22"/>
          <w:szCs w:val="22"/>
        </w:rPr>
        <w:t xml:space="preserve">) and </w:t>
      </w:r>
      <w:r w:rsidR="00790535">
        <w:rPr>
          <w:bCs/>
          <w:color w:val="000000"/>
          <w:sz w:val="22"/>
          <w:szCs w:val="22"/>
        </w:rPr>
        <w:t>Poland (1.2</w:t>
      </w:r>
      <w:r w:rsidR="00C94615" w:rsidRPr="00C94615">
        <w:rPr>
          <w:bCs/>
          <w:color w:val="000000"/>
          <w:sz w:val="22"/>
          <w:szCs w:val="22"/>
        </w:rPr>
        <w:t>%).</w:t>
      </w:r>
      <w:r w:rsidR="00790535">
        <w:rPr>
          <w:bCs/>
          <w:color w:val="000000"/>
          <w:sz w:val="22"/>
          <w:szCs w:val="22"/>
        </w:rPr>
        <w:t xml:space="preserve"> </w:t>
      </w:r>
    </w:p>
    <w:p w:rsidR="00C94615" w:rsidRDefault="007C0E28">
      <w:pPr>
        <w:pStyle w:val="FootnoteText"/>
        <w:jc w:val="both"/>
        <w:rPr>
          <w:bCs/>
          <w:color w:val="000000"/>
          <w:sz w:val="22"/>
          <w:szCs w:val="22"/>
        </w:rPr>
      </w:pPr>
      <w:r w:rsidRPr="00C44530">
        <w:rPr>
          <w:noProof/>
          <w:lang w:val="nl-BE" w:eastAsia="nl-BE"/>
        </w:rPr>
        <w:drawing>
          <wp:anchor distT="0" distB="0" distL="114300" distR="114300" simplePos="0" relativeHeight="251758592" behindDoc="0" locked="0" layoutInCell="1" allowOverlap="1" wp14:anchorId="471F333A" wp14:editId="12FD02A1">
            <wp:simplePos x="0" y="0"/>
            <wp:positionH relativeFrom="column">
              <wp:posOffset>904240</wp:posOffset>
            </wp:positionH>
            <wp:positionV relativeFrom="paragraph">
              <wp:posOffset>162560</wp:posOffset>
            </wp:positionV>
            <wp:extent cx="4545965" cy="6515100"/>
            <wp:effectExtent l="0" t="0" r="6985" b="0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7156" cy="6531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2669" w:rsidRPr="001B65E9" w:rsidRDefault="00654E5B" w:rsidP="00072669">
      <w:pPr>
        <w:pStyle w:val="Footer"/>
        <w:jc w:val="cen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B65E9">
        <w:rPr>
          <w:b/>
          <w:bCs/>
          <w:i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  <w:r w:rsidR="00072669" w:rsidRPr="001B65E9"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Trends in the AIF Market</w:t>
      </w:r>
    </w:p>
    <w:p w:rsidR="00072669" w:rsidRPr="001B65E9" w:rsidRDefault="00072669" w:rsidP="00072669">
      <w:pPr>
        <w:pStyle w:val="Footer"/>
        <w:jc w:val="center"/>
        <w:outlineLvl w:val="0"/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B65E9"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Net Sales by Investment Type</w:t>
      </w:r>
    </w:p>
    <w:p w:rsidR="00072669" w:rsidRDefault="00072669" w:rsidP="00072669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sz w:val="22"/>
          <w:szCs w:val="22"/>
          <w:lang w:val="en-US"/>
        </w:rPr>
      </w:pPr>
    </w:p>
    <w:p w:rsidR="00072669" w:rsidRDefault="002B5C1C" w:rsidP="00072669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b/>
          <w:bCs/>
          <w:color w:val="0000FF"/>
          <w:sz w:val="22"/>
          <w:szCs w:val="22"/>
          <w:lang w:val="en-US"/>
        </w:rPr>
      </w:pPr>
      <w:r>
        <w:rPr>
          <w:b/>
          <w:bCs/>
          <w:color w:val="0000FF"/>
          <w:sz w:val="22"/>
          <w:szCs w:val="22"/>
          <w:lang w:val="en-US"/>
        </w:rPr>
        <w:t>AIF</w:t>
      </w:r>
      <w:r w:rsidR="00361684">
        <w:rPr>
          <w:b/>
          <w:bCs/>
          <w:color w:val="0000FF"/>
          <w:sz w:val="22"/>
          <w:szCs w:val="22"/>
          <w:lang w:val="en-US"/>
        </w:rPr>
        <w:t>s</w:t>
      </w:r>
      <w:r w:rsidR="00F6001A">
        <w:rPr>
          <w:b/>
          <w:bCs/>
          <w:color w:val="0000FF"/>
          <w:sz w:val="22"/>
          <w:szCs w:val="22"/>
          <w:lang w:val="en-US"/>
        </w:rPr>
        <w:t xml:space="preserve"> recorded net inflows of EUR </w:t>
      </w:r>
      <w:r w:rsidR="00FE7B3C">
        <w:rPr>
          <w:b/>
          <w:bCs/>
          <w:color w:val="0000FF"/>
          <w:sz w:val="22"/>
          <w:szCs w:val="22"/>
          <w:lang w:val="en-US"/>
        </w:rPr>
        <w:t>51</w:t>
      </w:r>
      <w:r w:rsidR="0099458D">
        <w:rPr>
          <w:b/>
          <w:bCs/>
          <w:color w:val="0000FF"/>
          <w:sz w:val="22"/>
          <w:szCs w:val="22"/>
          <w:lang w:val="en-US"/>
        </w:rPr>
        <w:t xml:space="preserve"> </w:t>
      </w:r>
      <w:r w:rsidR="00072669">
        <w:rPr>
          <w:b/>
          <w:bCs/>
          <w:color w:val="0000FF"/>
          <w:sz w:val="22"/>
          <w:szCs w:val="22"/>
          <w:lang w:val="en-US"/>
        </w:rPr>
        <w:t xml:space="preserve">billion </w:t>
      </w:r>
      <w:r w:rsidR="003D3DEF">
        <w:rPr>
          <w:b/>
          <w:bCs/>
          <w:color w:val="0000FF"/>
          <w:sz w:val="22"/>
          <w:szCs w:val="22"/>
          <w:lang w:val="en-US"/>
        </w:rPr>
        <w:t xml:space="preserve">in </w:t>
      </w:r>
      <w:r w:rsidR="00FE7B3C">
        <w:rPr>
          <w:b/>
          <w:bCs/>
          <w:color w:val="0000FF"/>
          <w:sz w:val="22"/>
          <w:szCs w:val="22"/>
          <w:lang w:val="en-US"/>
        </w:rPr>
        <w:t>Q1 2018</w:t>
      </w:r>
      <w:r w:rsidR="00F6001A">
        <w:rPr>
          <w:b/>
          <w:bCs/>
          <w:color w:val="0000FF"/>
          <w:sz w:val="22"/>
          <w:szCs w:val="22"/>
          <w:lang w:val="en-US"/>
        </w:rPr>
        <w:t xml:space="preserve">, </w:t>
      </w:r>
      <w:r w:rsidR="0099458D">
        <w:rPr>
          <w:b/>
          <w:bCs/>
          <w:color w:val="0000FF"/>
          <w:sz w:val="22"/>
          <w:szCs w:val="22"/>
          <w:lang w:val="en-US"/>
        </w:rPr>
        <w:t xml:space="preserve">up </w:t>
      </w:r>
      <w:r w:rsidR="00F6001A">
        <w:rPr>
          <w:b/>
          <w:bCs/>
          <w:color w:val="0000FF"/>
          <w:sz w:val="22"/>
          <w:szCs w:val="22"/>
          <w:lang w:val="en-US"/>
        </w:rPr>
        <w:t xml:space="preserve">from EUR </w:t>
      </w:r>
      <w:r w:rsidR="00FE7B3C">
        <w:rPr>
          <w:b/>
          <w:bCs/>
          <w:color w:val="0000FF"/>
          <w:sz w:val="22"/>
          <w:szCs w:val="22"/>
          <w:lang w:val="en-US"/>
        </w:rPr>
        <w:t>19</w:t>
      </w:r>
      <w:r w:rsidR="00F6001A">
        <w:rPr>
          <w:b/>
          <w:bCs/>
          <w:color w:val="0000FF"/>
          <w:sz w:val="22"/>
          <w:szCs w:val="22"/>
          <w:lang w:val="en-US"/>
        </w:rPr>
        <w:t xml:space="preserve"> billion in the </w:t>
      </w:r>
      <w:r w:rsidR="0099458D">
        <w:rPr>
          <w:b/>
          <w:bCs/>
          <w:color w:val="0000FF"/>
          <w:sz w:val="22"/>
          <w:szCs w:val="22"/>
          <w:lang w:val="en-US"/>
        </w:rPr>
        <w:t xml:space="preserve">last </w:t>
      </w:r>
      <w:r w:rsidR="00FE7B3C">
        <w:rPr>
          <w:b/>
          <w:bCs/>
          <w:color w:val="0000FF"/>
          <w:sz w:val="22"/>
          <w:szCs w:val="22"/>
          <w:lang w:val="en-US"/>
        </w:rPr>
        <w:t>quarter of 2017</w:t>
      </w:r>
      <w:r w:rsidR="00072669">
        <w:rPr>
          <w:b/>
          <w:bCs/>
          <w:color w:val="0000FF"/>
          <w:sz w:val="22"/>
          <w:szCs w:val="22"/>
          <w:lang w:val="en-US"/>
        </w:rPr>
        <w:t>.</w:t>
      </w:r>
    </w:p>
    <w:p w:rsidR="00072669" w:rsidRDefault="00072669" w:rsidP="00072669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b/>
          <w:bCs/>
          <w:color w:val="0000FF"/>
          <w:sz w:val="22"/>
          <w:szCs w:val="22"/>
        </w:rPr>
      </w:pPr>
    </w:p>
    <w:p w:rsidR="00072669" w:rsidRDefault="006A3986" w:rsidP="00072669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Long-term AIF</w:t>
      </w:r>
      <w:r w:rsidR="00361684">
        <w:rPr>
          <w:bCs/>
          <w:color w:val="000000"/>
          <w:sz w:val="22"/>
          <w:szCs w:val="22"/>
        </w:rPr>
        <w:t>s</w:t>
      </w:r>
      <w:r w:rsidR="00072669" w:rsidRPr="007D3A6C">
        <w:rPr>
          <w:bCs/>
          <w:color w:val="000000"/>
          <w:sz w:val="22"/>
          <w:szCs w:val="22"/>
        </w:rPr>
        <w:t xml:space="preserve"> </w:t>
      </w:r>
      <w:r w:rsidR="00317C68">
        <w:rPr>
          <w:bCs/>
          <w:color w:val="000000"/>
          <w:sz w:val="22"/>
          <w:szCs w:val="22"/>
        </w:rPr>
        <w:t xml:space="preserve">recorded net inflows of EUR </w:t>
      </w:r>
      <w:r w:rsidR="00FE7B3C">
        <w:rPr>
          <w:bCs/>
          <w:color w:val="000000"/>
          <w:sz w:val="22"/>
          <w:szCs w:val="22"/>
        </w:rPr>
        <w:t>53</w:t>
      </w:r>
      <w:r w:rsidR="0099458D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billion</w:t>
      </w:r>
      <w:r w:rsidR="00317C68">
        <w:rPr>
          <w:bCs/>
          <w:color w:val="000000"/>
          <w:sz w:val="22"/>
          <w:szCs w:val="22"/>
        </w:rPr>
        <w:t xml:space="preserve">, </w:t>
      </w:r>
      <w:r w:rsidR="0099458D">
        <w:rPr>
          <w:bCs/>
          <w:color w:val="000000"/>
          <w:sz w:val="22"/>
          <w:szCs w:val="22"/>
        </w:rPr>
        <w:t xml:space="preserve">up </w:t>
      </w:r>
      <w:r w:rsidR="00317C68">
        <w:rPr>
          <w:bCs/>
          <w:color w:val="000000"/>
          <w:sz w:val="22"/>
          <w:szCs w:val="22"/>
        </w:rPr>
        <w:t>from</w:t>
      </w:r>
      <w:r w:rsidR="00072669" w:rsidRPr="00A7353F">
        <w:rPr>
          <w:bCs/>
          <w:color w:val="000000"/>
          <w:sz w:val="22"/>
          <w:szCs w:val="22"/>
        </w:rPr>
        <w:t xml:space="preserve"> net</w:t>
      </w:r>
      <w:r w:rsidR="00317C68">
        <w:rPr>
          <w:bCs/>
          <w:color w:val="000000"/>
          <w:sz w:val="22"/>
          <w:szCs w:val="22"/>
        </w:rPr>
        <w:t xml:space="preserve"> in</w:t>
      </w:r>
      <w:r w:rsidR="00072669">
        <w:rPr>
          <w:bCs/>
          <w:color w:val="000000"/>
          <w:sz w:val="22"/>
          <w:szCs w:val="22"/>
        </w:rPr>
        <w:t>flows</w:t>
      </w:r>
      <w:r w:rsidR="00072669" w:rsidRPr="00A7353F">
        <w:rPr>
          <w:bCs/>
          <w:color w:val="000000"/>
          <w:sz w:val="22"/>
          <w:szCs w:val="22"/>
        </w:rPr>
        <w:t xml:space="preserve"> of EUR </w:t>
      </w:r>
      <w:r w:rsidR="00FE7B3C">
        <w:rPr>
          <w:bCs/>
          <w:color w:val="000000"/>
          <w:sz w:val="22"/>
          <w:szCs w:val="22"/>
        </w:rPr>
        <w:t>2</w:t>
      </w:r>
      <w:r w:rsidR="0099458D">
        <w:rPr>
          <w:bCs/>
          <w:color w:val="000000"/>
          <w:sz w:val="22"/>
          <w:szCs w:val="22"/>
        </w:rPr>
        <w:t>0</w:t>
      </w:r>
      <w:r w:rsidR="0099458D" w:rsidRPr="00A7353F">
        <w:rPr>
          <w:bCs/>
          <w:color w:val="000000"/>
          <w:sz w:val="22"/>
          <w:szCs w:val="22"/>
        </w:rPr>
        <w:t xml:space="preserve"> </w:t>
      </w:r>
      <w:r w:rsidR="00072669" w:rsidRPr="00A7353F">
        <w:rPr>
          <w:bCs/>
          <w:color w:val="000000"/>
          <w:sz w:val="22"/>
          <w:szCs w:val="22"/>
        </w:rPr>
        <w:t xml:space="preserve">billion in </w:t>
      </w:r>
      <w:r w:rsidR="0099458D">
        <w:rPr>
          <w:bCs/>
          <w:color w:val="000000"/>
          <w:sz w:val="22"/>
          <w:szCs w:val="22"/>
        </w:rPr>
        <w:t>Q4</w:t>
      </w:r>
      <w:r w:rsidR="0099458D" w:rsidRPr="00A7353F">
        <w:rPr>
          <w:bCs/>
          <w:color w:val="000000"/>
          <w:sz w:val="22"/>
          <w:szCs w:val="22"/>
        </w:rPr>
        <w:t xml:space="preserve"> </w:t>
      </w:r>
      <w:r w:rsidR="00072669" w:rsidRPr="00A7353F">
        <w:rPr>
          <w:bCs/>
          <w:color w:val="000000"/>
          <w:sz w:val="22"/>
          <w:szCs w:val="22"/>
        </w:rPr>
        <w:t>201</w:t>
      </w:r>
      <w:r w:rsidR="00FE7B3C">
        <w:rPr>
          <w:bCs/>
          <w:color w:val="000000"/>
          <w:sz w:val="22"/>
          <w:szCs w:val="22"/>
        </w:rPr>
        <w:t>7</w:t>
      </w:r>
      <w:r w:rsidR="00072669" w:rsidRPr="00A7353F">
        <w:rPr>
          <w:bCs/>
          <w:color w:val="000000"/>
          <w:sz w:val="22"/>
          <w:szCs w:val="22"/>
        </w:rPr>
        <w:t xml:space="preserve">. </w:t>
      </w:r>
      <w:r w:rsidR="00C24E44">
        <w:rPr>
          <w:bCs/>
          <w:color w:val="000000"/>
          <w:sz w:val="22"/>
          <w:szCs w:val="22"/>
        </w:rPr>
        <w:t>E</w:t>
      </w:r>
      <w:r w:rsidR="00930A0B">
        <w:rPr>
          <w:bCs/>
          <w:color w:val="000000"/>
          <w:sz w:val="22"/>
          <w:szCs w:val="22"/>
        </w:rPr>
        <w:t xml:space="preserve">quity funds </w:t>
      </w:r>
      <w:r w:rsidR="00722B5D">
        <w:rPr>
          <w:bCs/>
          <w:color w:val="000000"/>
          <w:sz w:val="22"/>
          <w:szCs w:val="22"/>
        </w:rPr>
        <w:t>saw a reversal in flows,</w:t>
      </w:r>
      <w:r w:rsidR="00FE7B3C">
        <w:rPr>
          <w:bCs/>
          <w:color w:val="000000"/>
          <w:sz w:val="22"/>
          <w:szCs w:val="22"/>
        </w:rPr>
        <w:t xml:space="preserve"> </w:t>
      </w:r>
      <w:r w:rsidR="00930A0B">
        <w:rPr>
          <w:bCs/>
          <w:color w:val="000000"/>
          <w:sz w:val="22"/>
          <w:szCs w:val="22"/>
        </w:rPr>
        <w:t xml:space="preserve">from </w:t>
      </w:r>
      <w:r w:rsidR="00FE7B3C">
        <w:rPr>
          <w:bCs/>
          <w:color w:val="000000"/>
          <w:sz w:val="22"/>
          <w:szCs w:val="22"/>
        </w:rPr>
        <w:t>net in</w:t>
      </w:r>
      <w:r w:rsidR="002A6E48">
        <w:rPr>
          <w:bCs/>
          <w:color w:val="000000"/>
          <w:sz w:val="22"/>
          <w:szCs w:val="22"/>
        </w:rPr>
        <w:t xml:space="preserve">flows of </w:t>
      </w:r>
      <w:r w:rsidR="00930A0B">
        <w:rPr>
          <w:bCs/>
          <w:color w:val="000000"/>
          <w:sz w:val="22"/>
          <w:szCs w:val="22"/>
        </w:rPr>
        <w:t xml:space="preserve">EUR </w:t>
      </w:r>
      <w:r w:rsidR="00FE7B3C">
        <w:rPr>
          <w:bCs/>
          <w:color w:val="000000"/>
          <w:sz w:val="22"/>
          <w:szCs w:val="22"/>
        </w:rPr>
        <w:t>13</w:t>
      </w:r>
      <w:r w:rsidR="0099458D">
        <w:rPr>
          <w:bCs/>
          <w:color w:val="000000"/>
          <w:sz w:val="22"/>
          <w:szCs w:val="22"/>
        </w:rPr>
        <w:t xml:space="preserve"> </w:t>
      </w:r>
      <w:r w:rsidR="00930A0B">
        <w:rPr>
          <w:bCs/>
          <w:color w:val="000000"/>
          <w:sz w:val="22"/>
          <w:szCs w:val="22"/>
        </w:rPr>
        <w:t xml:space="preserve">billion in </w:t>
      </w:r>
      <w:r w:rsidR="00FF6DAF">
        <w:rPr>
          <w:bCs/>
          <w:color w:val="000000"/>
          <w:sz w:val="22"/>
          <w:szCs w:val="22"/>
        </w:rPr>
        <w:t xml:space="preserve">Q4 </w:t>
      </w:r>
      <w:r w:rsidR="00FE7B3C">
        <w:rPr>
          <w:bCs/>
          <w:color w:val="000000"/>
          <w:sz w:val="22"/>
          <w:szCs w:val="22"/>
        </w:rPr>
        <w:t>2017</w:t>
      </w:r>
      <w:r w:rsidR="00930A0B">
        <w:rPr>
          <w:bCs/>
          <w:color w:val="000000"/>
          <w:sz w:val="22"/>
          <w:szCs w:val="22"/>
        </w:rPr>
        <w:t xml:space="preserve"> to </w:t>
      </w:r>
      <w:r w:rsidR="00FE7B3C">
        <w:rPr>
          <w:bCs/>
          <w:color w:val="000000"/>
          <w:sz w:val="22"/>
          <w:szCs w:val="22"/>
        </w:rPr>
        <w:t xml:space="preserve">net outflows of </w:t>
      </w:r>
      <w:r w:rsidR="00930A0B">
        <w:rPr>
          <w:bCs/>
          <w:color w:val="000000"/>
          <w:sz w:val="22"/>
          <w:szCs w:val="22"/>
        </w:rPr>
        <w:t xml:space="preserve">EUR </w:t>
      </w:r>
      <w:r w:rsidR="00FE7B3C">
        <w:rPr>
          <w:bCs/>
          <w:color w:val="000000"/>
          <w:sz w:val="22"/>
          <w:szCs w:val="22"/>
        </w:rPr>
        <w:t>2</w:t>
      </w:r>
      <w:r w:rsidR="0099458D">
        <w:rPr>
          <w:bCs/>
          <w:color w:val="000000"/>
          <w:sz w:val="22"/>
          <w:szCs w:val="22"/>
        </w:rPr>
        <w:t xml:space="preserve"> </w:t>
      </w:r>
      <w:r w:rsidR="00930A0B">
        <w:rPr>
          <w:bCs/>
          <w:color w:val="000000"/>
          <w:sz w:val="22"/>
          <w:szCs w:val="22"/>
        </w:rPr>
        <w:t xml:space="preserve">billion in </w:t>
      </w:r>
      <w:r w:rsidR="00D9468C">
        <w:rPr>
          <w:bCs/>
          <w:color w:val="000000"/>
          <w:sz w:val="22"/>
          <w:szCs w:val="22"/>
        </w:rPr>
        <w:t>Q1</w:t>
      </w:r>
      <w:r w:rsidR="00FE7B3C">
        <w:rPr>
          <w:bCs/>
          <w:color w:val="000000"/>
          <w:sz w:val="22"/>
          <w:szCs w:val="22"/>
        </w:rPr>
        <w:t xml:space="preserve"> 2018</w:t>
      </w:r>
      <w:r w:rsidR="00930A0B">
        <w:rPr>
          <w:bCs/>
          <w:color w:val="000000"/>
          <w:sz w:val="22"/>
          <w:szCs w:val="22"/>
        </w:rPr>
        <w:t xml:space="preserve">. </w:t>
      </w:r>
      <w:r w:rsidR="00FE7B3C">
        <w:rPr>
          <w:bCs/>
          <w:color w:val="000000"/>
          <w:sz w:val="22"/>
          <w:szCs w:val="22"/>
        </w:rPr>
        <w:t xml:space="preserve">Net outflows from bond funds </w:t>
      </w:r>
      <w:r w:rsidR="00D9468C">
        <w:rPr>
          <w:bCs/>
          <w:color w:val="000000"/>
          <w:sz w:val="22"/>
          <w:szCs w:val="22"/>
        </w:rPr>
        <w:t>continued,</w:t>
      </w:r>
      <w:r w:rsidR="00C521DB">
        <w:rPr>
          <w:bCs/>
          <w:color w:val="000000"/>
          <w:sz w:val="22"/>
          <w:szCs w:val="22"/>
        </w:rPr>
        <w:t xml:space="preserve"> </w:t>
      </w:r>
      <w:r w:rsidR="000B06C2">
        <w:rPr>
          <w:bCs/>
          <w:color w:val="000000"/>
          <w:sz w:val="22"/>
          <w:szCs w:val="22"/>
        </w:rPr>
        <w:t xml:space="preserve">albeit at a slower rate: </w:t>
      </w:r>
      <w:r w:rsidR="00C521DB" w:rsidRPr="000B06C2">
        <w:rPr>
          <w:bCs/>
          <w:sz w:val="22"/>
          <w:szCs w:val="22"/>
        </w:rPr>
        <w:t>EUR 4</w:t>
      </w:r>
      <w:r w:rsidR="009C2546" w:rsidRPr="000B06C2">
        <w:rPr>
          <w:bCs/>
          <w:sz w:val="22"/>
          <w:szCs w:val="22"/>
        </w:rPr>
        <w:t xml:space="preserve"> billion</w:t>
      </w:r>
      <w:r w:rsidR="004227F8" w:rsidRPr="000B06C2">
        <w:rPr>
          <w:bCs/>
          <w:sz w:val="22"/>
          <w:szCs w:val="22"/>
        </w:rPr>
        <w:t xml:space="preserve"> </w:t>
      </w:r>
      <w:r w:rsidR="004227F8">
        <w:rPr>
          <w:bCs/>
          <w:color w:val="000000"/>
          <w:sz w:val="22"/>
          <w:szCs w:val="22"/>
        </w:rPr>
        <w:t>compared to EUR 37 billion in Q4 2017</w:t>
      </w:r>
      <w:r w:rsidR="009C2546" w:rsidRPr="004227F8">
        <w:rPr>
          <w:bCs/>
          <w:sz w:val="22"/>
          <w:szCs w:val="22"/>
        </w:rPr>
        <w:t xml:space="preserve">. </w:t>
      </w:r>
      <w:r w:rsidR="00352B56" w:rsidRPr="00352B56">
        <w:rPr>
          <w:bCs/>
          <w:color w:val="000000"/>
          <w:sz w:val="22"/>
          <w:szCs w:val="22"/>
        </w:rPr>
        <w:t xml:space="preserve">Net sales of multi-asset funds increased from EUR 10 billion in Q4 2017 to EUR 13 billion in Q1 </w:t>
      </w:r>
      <w:r w:rsidR="00C24E44">
        <w:rPr>
          <w:bCs/>
          <w:color w:val="000000"/>
          <w:sz w:val="22"/>
          <w:szCs w:val="22"/>
        </w:rPr>
        <w:t>2018, whereas</w:t>
      </w:r>
      <w:r w:rsidR="00352B56">
        <w:rPr>
          <w:bCs/>
          <w:color w:val="000000"/>
          <w:sz w:val="22"/>
          <w:szCs w:val="22"/>
        </w:rPr>
        <w:t xml:space="preserve"> </w:t>
      </w:r>
      <w:r w:rsidR="00C24E44">
        <w:rPr>
          <w:bCs/>
          <w:color w:val="000000"/>
          <w:sz w:val="22"/>
          <w:szCs w:val="22"/>
        </w:rPr>
        <w:t>n</w:t>
      </w:r>
      <w:r w:rsidR="00930A0B">
        <w:rPr>
          <w:bCs/>
          <w:color w:val="000000"/>
          <w:sz w:val="22"/>
          <w:szCs w:val="22"/>
        </w:rPr>
        <w:t xml:space="preserve">et sales of </w:t>
      </w:r>
      <w:r w:rsidR="00677474">
        <w:rPr>
          <w:bCs/>
          <w:color w:val="000000"/>
          <w:sz w:val="22"/>
          <w:szCs w:val="22"/>
        </w:rPr>
        <w:t xml:space="preserve">other </w:t>
      </w:r>
      <w:r w:rsidR="00930A0B">
        <w:rPr>
          <w:bCs/>
          <w:color w:val="000000"/>
          <w:sz w:val="22"/>
          <w:szCs w:val="22"/>
        </w:rPr>
        <w:t xml:space="preserve">funds </w:t>
      </w:r>
      <w:r w:rsidR="0099458D">
        <w:rPr>
          <w:bCs/>
          <w:color w:val="000000"/>
          <w:sz w:val="22"/>
          <w:szCs w:val="22"/>
        </w:rPr>
        <w:t xml:space="preserve">increased </w:t>
      </w:r>
      <w:r w:rsidR="009C2546">
        <w:rPr>
          <w:bCs/>
          <w:color w:val="000000"/>
          <w:sz w:val="22"/>
          <w:szCs w:val="22"/>
        </w:rPr>
        <w:t xml:space="preserve">from </w:t>
      </w:r>
      <w:r w:rsidR="004227F8" w:rsidRPr="00A7353F">
        <w:rPr>
          <w:bCs/>
          <w:color w:val="000000"/>
          <w:sz w:val="22"/>
          <w:szCs w:val="22"/>
        </w:rPr>
        <w:t>EUR</w:t>
      </w:r>
      <w:r w:rsidR="004227F8">
        <w:rPr>
          <w:bCs/>
          <w:color w:val="000000"/>
          <w:sz w:val="22"/>
          <w:szCs w:val="22"/>
        </w:rPr>
        <w:t xml:space="preserve"> </w:t>
      </w:r>
      <w:r w:rsidR="009C2546">
        <w:rPr>
          <w:bCs/>
          <w:color w:val="000000"/>
          <w:sz w:val="22"/>
          <w:szCs w:val="22"/>
        </w:rPr>
        <w:t>26 billion to 37</w:t>
      </w:r>
      <w:r w:rsidR="00677474">
        <w:rPr>
          <w:bCs/>
          <w:color w:val="000000"/>
          <w:sz w:val="22"/>
          <w:szCs w:val="22"/>
        </w:rPr>
        <w:t xml:space="preserve"> billion</w:t>
      </w:r>
      <w:r w:rsidR="004227F8">
        <w:rPr>
          <w:bCs/>
          <w:color w:val="000000"/>
          <w:sz w:val="22"/>
          <w:szCs w:val="22"/>
        </w:rPr>
        <w:t>.</w:t>
      </w:r>
    </w:p>
    <w:p w:rsidR="00072669" w:rsidRDefault="00072669" w:rsidP="00072669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bCs/>
          <w:color w:val="000000"/>
          <w:sz w:val="22"/>
          <w:szCs w:val="22"/>
        </w:rPr>
      </w:pPr>
    </w:p>
    <w:p w:rsidR="00072669" w:rsidRPr="00622197" w:rsidRDefault="00072669" w:rsidP="00622197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bCs/>
          <w:color w:val="000000"/>
          <w:sz w:val="22"/>
          <w:szCs w:val="22"/>
        </w:rPr>
      </w:pPr>
    </w:p>
    <w:p w:rsidR="00024985" w:rsidRPr="001B65E9" w:rsidRDefault="0081709A" w:rsidP="00072669">
      <w:pPr>
        <w:pStyle w:val="Footer"/>
        <w:jc w:val="center"/>
        <w:outlineLvl w:val="0"/>
        <w:rPr>
          <w:b/>
          <w:bCs/>
          <w:i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iCs/>
          <w:noProof/>
          <w:sz w:val="28"/>
          <w:szCs w:val="28"/>
          <w:lang w:val="nl-BE" w:eastAsia="nl-B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746304" behindDoc="0" locked="0" layoutInCell="1" allowOverlap="1" wp14:anchorId="0037A9BC" wp14:editId="727746F1">
            <wp:simplePos x="0" y="0"/>
            <wp:positionH relativeFrom="margin">
              <wp:posOffset>3095625</wp:posOffset>
            </wp:positionH>
            <wp:positionV relativeFrom="paragraph">
              <wp:posOffset>2231390</wp:posOffset>
            </wp:positionV>
            <wp:extent cx="3387600" cy="208800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600" cy="20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Cs/>
          <w:noProof/>
          <w:sz w:val="28"/>
          <w:szCs w:val="28"/>
          <w:lang w:val="nl-BE" w:eastAsia="nl-B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745280" behindDoc="0" locked="0" layoutInCell="1" allowOverlap="1" wp14:anchorId="0DF525BC" wp14:editId="10B55E1D">
            <wp:simplePos x="0" y="0"/>
            <wp:positionH relativeFrom="margin">
              <wp:align>left</wp:align>
            </wp:positionH>
            <wp:positionV relativeFrom="paragraph">
              <wp:posOffset>4622165</wp:posOffset>
            </wp:positionV>
            <wp:extent cx="3430800" cy="208800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800" cy="20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3997">
        <w:rPr>
          <w:b/>
          <w:bCs/>
          <w:iCs/>
          <w:noProof/>
          <w:sz w:val="28"/>
          <w:szCs w:val="28"/>
          <w:lang w:val="nl-BE" w:eastAsia="nl-B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747328" behindDoc="0" locked="0" layoutInCell="1" allowOverlap="1" wp14:anchorId="3573499F" wp14:editId="22DC2DF5">
            <wp:simplePos x="0" y="0"/>
            <wp:positionH relativeFrom="column">
              <wp:posOffset>3037840</wp:posOffset>
            </wp:positionH>
            <wp:positionV relativeFrom="paragraph">
              <wp:posOffset>4622165</wp:posOffset>
            </wp:positionV>
            <wp:extent cx="3405600" cy="208800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5600" cy="20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3997">
        <w:rPr>
          <w:b/>
          <w:bCs/>
          <w:iCs/>
          <w:noProof/>
          <w:sz w:val="28"/>
          <w:szCs w:val="28"/>
          <w:lang w:val="nl-BE" w:eastAsia="nl-B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743232" behindDoc="0" locked="0" layoutInCell="1" allowOverlap="1" wp14:anchorId="73DBD7A2" wp14:editId="53EC5491">
            <wp:simplePos x="0" y="0"/>
            <wp:positionH relativeFrom="margin">
              <wp:posOffset>3013075</wp:posOffset>
            </wp:positionH>
            <wp:positionV relativeFrom="paragraph">
              <wp:posOffset>10230</wp:posOffset>
            </wp:positionV>
            <wp:extent cx="3412800" cy="208800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2800" cy="20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0D0F">
        <w:rPr>
          <w:b/>
          <w:bCs/>
          <w:iCs/>
          <w:noProof/>
          <w:sz w:val="28"/>
          <w:szCs w:val="28"/>
          <w:lang w:val="nl-BE" w:eastAsia="nl-B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12065</wp:posOffset>
            </wp:positionV>
            <wp:extent cx="3401695" cy="208788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695" cy="2087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0D0F">
        <w:rPr>
          <w:b/>
          <w:bCs/>
          <w:iCs/>
          <w:noProof/>
          <w:sz w:val="28"/>
          <w:szCs w:val="28"/>
          <w:lang w:val="nl-BE" w:eastAsia="nl-B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744256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2183765</wp:posOffset>
            </wp:positionV>
            <wp:extent cx="3434080" cy="208788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080" cy="2087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2669" w:rsidRPr="001B65E9">
        <w:rPr>
          <w:b/>
          <w:bCs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  <w:r w:rsidR="00024985" w:rsidRPr="001B65E9">
        <w:rPr>
          <w:b/>
          <w:bCs/>
          <w:i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Trends in the AIF Market</w:t>
      </w:r>
    </w:p>
    <w:p w:rsidR="00024985" w:rsidRDefault="00024985" w:rsidP="00024985">
      <w:pPr>
        <w:pStyle w:val="Footer"/>
        <w:tabs>
          <w:tab w:val="clear" w:pos="4320"/>
          <w:tab w:val="clear" w:pos="8640"/>
          <w:tab w:val="left" w:pos="4185"/>
        </w:tabs>
        <w:spacing w:line="260" w:lineRule="exact"/>
        <w:jc w:val="center"/>
        <w:rPr>
          <w:i/>
          <w:iCs/>
          <w:sz w:val="22"/>
          <w:szCs w:val="22"/>
          <w:lang w:val="en-US"/>
        </w:rPr>
      </w:pPr>
      <w:r w:rsidRPr="001B65E9"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Net Sales by </w:t>
      </w:r>
      <w:r w:rsidR="0074146A" w:rsidRPr="001B65E9"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Country of Domiciliation and</w:t>
      </w:r>
      <w:r w:rsidR="005B1F0F" w:rsidRPr="001B65E9"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1B65E9"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Investment Type</w:t>
      </w:r>
    </w:p>
    <w:p w:rsidR="00024985" w:rsidRPr="001B65E9" w:rsidRDefault="00024985" w:rsidP="009D14F0">
      <w:pPr>
        <w:pStyle w:val="Footer"/>
        <w:jc w:val="center"/>
        <w:outlineLvl w:val="0"/>
        <w:rPr>
          <w:b/>
          <w:bCs/>
          <w:iCs/>
          <w:sz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F4395" w:rsidRDefault="00982A9B" w:rsidP="007C28E2">
      <w:pPr>
        <w:spacing w:line="260" w:lineRule="atLeast"/>
        <w:jc w:val="both"/>
        <w:rPr>
          <w:b/>
          <w:color w:val="0000FF"/>
          <w:sz w:val="22"/>
          <w:szCs w:val="22"/>
          <w:lang w:eastAsia="fr-FR"/>
        </w:rPr>
      </w:pPr>
      <w:r>
        <w:rPr>
          <w:b/>
          <w:color w:val="0000FF"/>
          <w:sz w:val="22"/>
          <w:szCs w:val="22"/>
          <w:lang w:eastAsia="fr-FR"/>
        </w:rPr>
        <w:t xml:space="preserve">Net sales of </w:t>
      </w:r>
      <w:r w:rsidR="00D67209">
        <w:rPr>
          <w:b/>
          <w:color w:val="0000FF"/>
          <w:sz w:val="22"/>
          <w:szCs w:val="22"/>
          <w:lang w:eastAsia="fr-FR"/>
        </w:rPr>
        <w:t>AIF</w:t>
      </w:r>
      <w:r w:rsidR="00361684">
        <w:rPr>
          <w:b/>
          <w:color w:val="0000FF"/>
          <w:sz w:val="22"/>
          <w:szCs w:val="22"/>
          <w:lang w:eastAsia="fr-FR"/>
        </w:rPr>
        <w:t>s</w:t>
      </w:r>
      <w:r>
        <w:rPr>
          <w:b/>
          <w:color w:val="0000FF"/>
          <w:sz w:val="22"/>
          <w:szCs w:val="22"/>
          <w:lang w:eastAsia="fr-FR"/>
        </w:rPr>
        <w:t xml:space="preserve"> totaled EUR </w:t>
      </w:r>
      <w:r w:rsidR="00EB34D2">
        <w:rPr>
          <w:b/>
          <w:color w:val="0000FF"/>
          <w:sz w:val="22"/>
          <w:szCs w:val="22"/>
          <w:lang w:eastAsia="fr-FR"/>
        </w:rPr>
        <w:t>51</w:t>
      </w:r>
      <w:r w:rsidR="00D53905">
        <w:rPr>
          <w:b/>
          <w:color w:val="0000FF"/>
          <w:sz w:val="22"/>
          <w:szCs w:val="22"/>
          <w:lang w:eastAsia="fr-FR"/>
        </w:rPr>
        <w:t xml:space="preserve"> </w:t>
      </w:r>
      <w:r w:rsidR="00600F2E">
        <w:rPr>
          <w:b/>
          <w:color w:val="0000FF"/>
          <w:sz w:val="22"/>
          <w:szCs w:val="22"/>
          <w:lang w:eastAsia="fr-FR"/>
        </w:rPr>
        <w:t>billion</w:t>
      </w:r>
      <w:r w:rsidR="00B75D41">
        <w:rPr>
          <w:b/>
          <w:color w:val="0000FF"/>
          <w:sz w:val="22"/>
          <w:szCs w:val="22"/>
          <w:lang w:eastAsia="fr-FR"/>
        </w:rPr>
        <w:t xml:space="preserve"> </w:t>
      </w:r>
      <w:r w:rsidR="004C0182">
        <w:rPr>
          <w:b/>
          <w:color w:val="0000FF"/>
          <w:sz w:val="22"/>
          <w:szCs w:val="22"/>
          <w:lang w:eastAsia="fr-FR"/>
        </w:rPr>
        <w:t xml:space="preserve">in </w:t>
      </w:r>
      <w:r w:rsidR="007B76ED">
        <w:rPr>
          <w:b/>
          <w:color w:val="0000FF"/>
          <w:sz w:val="22"/>
          <w:szCs w:val="22"/>
          <w:lang w:eastAsia="fr-FR"/>
        </w:rPr>
        <w:t>Q</w:t>
      </w:r>
      <w:r w:rsidR="004467BA">
        <w:rPr>
          <w:b/>
          <w:color w:val="0000FF"/>
          <w:sz w:val="22"/>
          <w:szCs w:val="22"/>
          <w:lang w:eastAsia="fr-FR"/>
        </w:rPr>
        <w:t>1</w:t>
      </w:r>
      <w:r w:rsidR="00D53905">
        <w:rPr>
          <w:b/>
          <w:color w:val="0000FF"/>
          <w:sz w:val="22"/>
          <w:szCs w:val="22"/>
          <w:lang w:eastAsia="fr-FR"/>
        </w:rPr>
        <w:t xml:space="preserve"> 201</w:t>
      </w:r>
      <w:r w:rsidR="004467BA">
        <w:rPr>
          <w:b/>
          <w:color w:val="0000FF"/>
          <w:sz w:val="22"/>
          <w:szCs w:val="22"/>
          <w:lang w:eastAsia="fr-FR"/>
        </w:rPr>
        <w:t>8</w:t>
      </w:r>
      <w:r w:rsidR="004C0182">
        <w:rPr>
          <w:b/>
          <w:color w:val="0000FF"/>
          <w:sz w:val="22"/>
          <w:szCs w:val="22"/>
          <w:lang w:eastAsia="fr-FR"/>
        </w:rPr>
        <w:t>,</w:t>
      </w:r>
      <w:r w:rsidR="007F4395">
        <w:rPr>
          <w:b/>
          <w:color w:val="0000FF"/>
          <w:sz w:val="22"/>
          <w:szCs w:val="22"/>
          <w:lang w:eastAsia="fr-FR"/>
        </w:rPr>
        <w:t xml:space="preserve"> </w:t>
      </w:r>
      <w:r w:rsidR="00A827BD">
        <w:rPr>
          <w:b/>
          <w:color w:val="0000FF"/>
          <w:sz w:val="22"/>
          <w:szCs w:val="22"/>
          <w:lang w:eastAsia="fr-FR"/>
        </w:rPr>
        <w:t>compared to</w:t>
      </w:r>
      <w:r w:rsidR="004227F8">
        <w:rPr>
          <w:b/>
          <w:color w:val="0000FF"/>
          <w:sz w:val="22"/>
          <w:szCs w:val="22"/>
          <w:lang w:eastAsia="fr-FR"/>
        </w:rPr>
        <w:t xml:space="preserve"> </w:t>
      </w:r>
      <w:r w:rsidR="004227F8">
        <w:rPr>
          <w:b/>
          <w:bCs/>
          <w:color w:val="0000FF"/>
          <w:sz w:val="22"/>
          <w:szCs w:val="22"/>
        </w:rPr>
        <w:t>EUR</w:t>
      </w:r>
      <w:r w:rsidR="00A827BD">
        <w:rPr>
          <w:b/>
          <w:color w:val="0000FF"/>
          <w:sz w:val="22"/>
          <w:szCs w:val="22"/>
          <w:lang w:eastAsia="fr-FR"/>
        </w:rPr>
        <w:t xml:space="preserve"> </w:t>
      </w:r>
      <w:r w:rsidR="00EB34D2">
        <w:rPr>
          <w:b/>
          <w:color w:val="0000FF"/>
          <w:sz w:val="22"/>
          <w:szCs w:val="22"/>
          <w:lang w:eastAsia="fr-FR"/>
        </w:rPr>
        <w:t>19</w:t>
      </w:r>
      <w:r w:rsidR="00D53905">
        <w:rPr>
          <w:b/>
          <w:color w:val="0000FF"/>
          <w:sz w:val="22"/>
          <w:szCs w:val="22"/>
          <w:lang w:eastAsia="fr-FR"/>
        </w:rPr>
        <w:t xml:space="preserve"> </w:t>
      </w:r>
      <w:r w:rsidR="00A96D84">
        <w:rPr>
          <w:b/>
          <w:color w:val="0000FF"/>
          <w:sz w:val="22"/>
          <w:szCs w:val="22"/>
          <w:lang w:eastAsia="fr-FR"/>
        </w:rPr>
        <w:t xml:space="preserve">billion </w:t>
      </w:r>
      <w:r w:rsidR="004C0182">
        <w:rPr>
          <w:b/>
          <w:color w:val="0000FF"/>
          <w:sz w:val="22"/>
          <w:szCs w:val="22"/>
          <w:lang w:eastAsia="fr-FR"/>
        </w:rPr>
        <w:t xml:space="preserve">in </w:t>
      </w:r>
      <w:r w:rsidR="007B76ED">
        <w:rPr>
          <w:b/>
          <w:color w:val="0000FF"/>
          <w:sz w:val="22"/>
          <w:szCs w:val="22"/>
          <w:lang w:eastAsia="fr-FR"/>
        </w:rPr>
        <w:t>Q</w:t>
      </w:r>
      <w:r w:rsidR="004467BA">
        <w:rPr>
          <w:b/>
          <w:color w:val="0000FF"/>
          <w:sz w:val="22"/>
          <w:szCs w:val="22"/>
          <w:lang w:eastAsia="fr-FR"/>
        </w:rPr>
        <w:t>4</w:t>
      </w:r>
      <w:r w:rsidR="00D53905">
        <w:rPr>
          <w:b/>
          <w:color w:val="0000FF"/>
          <w:sz w:val="22"/>
          <w:szCs w:val="22"/>
          <w:lang w:eastAsia="fr-FR"/>
        </w:rPr>
        <w:t xml:space="preserve"> </w:t>
      </w:r>
      <w:r w:rsidR="003F339C">
        <w:rPr>
          <w:b/>
          <w:color w:val="0000FF"/>
          <w:sz w:val="22"/>
          <w:szCs w:val="22"/>
          <w:lang w:eastAsia="fr-FR"/>
        </w:rPr>
        <w:t>201</w:t>
      </w:r>
      <w:r w:rsidR="004467BA">
        <w:rPr>
          <w:b/>
          <w:color w:val="0000FF"/>
          <w:sz w:val="22"/>
          <w:szCs w:val="22"/>
          <w:lang w:eastAsia="fr-FR"/>
        </w:rPr>
        <w:t>7</w:t>
      </w:r>
      <w:r w:rsidR="003F339C">
        <w:rPr>
          <w:b/>
          <w:color w:val="0000FF"/>
          <w:sz w:val="22"/>
          <w:szCs w:val="22"/>
          <w:lang w:eastAsia="fr-FR"/>
        </w:rPr>
        <w:t>.</w:t>
      </w:r>
    </w:p>
    <w:p w:rsidR="00EB34D2" w:rsidRDefault="00EB34D2" w:rsidP="00643B31">
      <w:pPr>
        <w:spacing w:line="260" w:lineRule="atLeast"/>
        <w:jc w:val="both"/>
        <w:rPr>
          <w:sz w:val="22"/>
          <w:szCs w:val="22"/>
          <w:lang w:eastAsia="fr-FR"/>
        </w:rPr>
      </w:pPr>
    </w:p>
    <w:p w:rsidR="00EB34D2" w:rsidRDefault="00EB34D2" w:rsidP="00EB34D2">
      <w:pPr>
        <w:spacing w:line="260" w:lineRule="atLeast"/>
        <w:jc w:val="both"/>
        <w:rPr>
          <w:color w:val="000000"/>
          <w:sz w:val="22"/>
          <w:szCs w:val="22"/>
          <w:lang w:eastAsia="fr-FR"/>
        </w:rPr>
      </w:pPr>
      <w:r>
        <w:rPr>
          <w:color w:val="000000"/>
          <w:sz w:val="22"/>
          <w:szCs w:val="22"/>
          <w:lang w:eastAsia="fr-FR"/>
        </w:rPr>
        <w:t>In Q1 2018, net sale</w:t>
      </w:r>
      <w:r w:rsidRPr="004C7355">
        <w:rPr>
          <w:color w:val="000000"/>
          <w:sz w:val="22"/>
          <w:szCs w:val="22"/>
          <w:lang w:eastAsia="fr-FR"/>
        </w:rPr>
        <w:t xml:space="preserve">s above EUR 1 billion were registered in </w:t>
      </w:r>
      <w:r w:rsidRPr="00A95915">
        <w:rPr>
          <w:color w:val="000000"/>
          <w:sz w:val="22"/>
          <w:szCs w:val="22"/>
          <w:lang w:eastAsia="fr-FR"/>
        </w:rPr>
        <w:t>Germany (EUR 26</w:t>
      </w:r>
      <w:r>
        <w:rPr>
          <w:color w:val="000000"/>
          <w:sz w:val="22"/>
          <w:szCs w:val="22"/>
          <w:lang w:eastAsia="fr-FR"/>
        </w:rPr>
        <w:t>.7</w:t>
      </w:r>
      <w:r w:rsidRPr="00A95915">
        <w:rPr>
          <w:color w:val="000000"/>
          <w:sz w:val="22"/>
          <w:szCs w:val="22"/>
          <w:lang w:eastAsia="fr-FR"/>
        </w:rPr>
        <w:t xml:space="preserve"> billion), Ireland (2</w:t>
      </w:r>
      <w:r>
        <w:rPr>
          <w:color w:val="000000"/>
          <w:sz w:val="22"/>
          <w:szCs w:val="22"/>
          <w:lang w:eastAsia="fr-FR"/>
        </w:rPr>
        <w:t xml:space="preserve">5.5 </w:t>
      </w:r>
      <w:r w:rsidRPr="00A95915">
        <w:rPr>
          <w:color w:val="000000"/>
          <w:sz w:val="22"/>
          <w:szCs w:val="22"/>
          <w:lang w:eastAsia="fr-FR"/>
        </w:rPr>
        <w:t>billion),</w:t>
      </w:r>
      <w:r w:rsidRPr="00A95915">
        <w:t xml:space="preserve"> </w:t>
      </w:r>
      <w:r>
        <w:rPr>
          <w:color w:val="000000"/>
          <w:sz w:val="22"/>
          <w:szCs w:val="22"/>
          <w:lang w:eastAsia="fr-FR"/>
        </w:rPr>
        <w:t>Luxembourg (EUR 8.7 billion), the United Kingdom (EUR 2.6 billion), Switzerland (EUR 1.2</w:t>
      </w:r>
      <w:r w:rsidRPr="00A95915">
        <w:rPr>
          <w:color w:val="000000"/>
          <w:sz w:val="22"/>
          <w:szCs w:val="22"/>
          <w:lang w:eastAsia="fr-FR"/>
        </w:rPr>
        <w:t xml:space="preserve"> billi</w:t>
      </w:r>
      <w:r>
        <w:rPr>
          <w:color w:val="000000"/>
          <w:sz w:val="22"/>
          <w:szCs w:val="22"/>
          <w:lang w:eastAsia="fr-FR"/>
        </w:rPr>
        <w:t>on), and Cyprus (EUR 1</w:t>
      </w:r>
      <w:r w:rsidRPr="00A95915">
        <w:rPr>
          <w:color w:val="000000"/>
          <w:sz w:val="22"/>
          <w:szCs w:val="22"/>
          <w:lang w:eastAsia="fr-FR"/>
        </w:rPr>
        <w:t xml:space="preserve"> </w:t>
      </w:r>
      <w:r>
        <w:rPr>
          <w:color w:val="000000"/>
          <w:sz w:val="22"/>
          <w:szCs w:val="22"/>
          <w:lang w:eastAsia="fr-FR"/>
        </w:rPr>
        <w:t>billion</w:t>
      </w:r>
      <w:r w:rsidRPr="00A95915">
        <w:rPr>
          <w:color w:val="000000"/>
          <w:sz w:val="22"/>
          <w:szCs w:val="22"/>
          <w:lang w:eastAsia="fr-FR"/>
        </w:rPr>
        <w:t>)</w:t>
      </w:r>
      <w:r>
        <w:rPr>
          <w:color w:val="000000"/>
          <w:sz w:val="22"/>
          <w:szCs w:val="22"/>
          <w:lang w:eastAsia="fr-FR"/>
        </w:rPr>
        <w:t>.</w:t>
      </w:r>
    </w:p>
    <w:p w:rsidR="00EB34D2" w:rsidRDefault="00EB34D2" w:rsidP="00EB34D2">
      <w:pPr>
        <w:spacing w:line="260" w:lineRule="atLeast"/>
        <w:jc w:val="both"/>
        <w:rPr>
          <w:sz w:val="22"/>
          <w:szCs w:val="22"/>
          <w:lang w:eastAsia="fr-FR"/>
        </w:rPr>
      </w:pPr>
    </w:p>
    <w:p w:rsidR="00EB34D2" w:rsidRDefault="00EB34D2" w:rsidP="009D14F0">
      <w:pPr>
        <w:pStyle w:val="Footer"/>
        <w:jc w:val="center"/>
        <w:outlineLvl w:val="0"/>
      </w:pPr>
    </w:p>
    <w:p w:rsidR="009D14F0" w:rsidRPr="001B65E9" w:rsidRDefault="00B62796" w:rsidP="009D14F0">
      <w:pPr>
        <w:pStyle w:val="Footer"/>
        <w:jc w:val="center"/>
        <w:outlineLvl w:val="0"/>
        <w:rPr>
          <w:b/>
          <w:bCs/>
          <w:i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62796">
        <w:rPr>
          <w:noProof/>
          <w:lang w:val="nl-BE" w:eastAsia="nl-BE"/>
        </w:rPr>
        <w:drawing>
          <wp:inline distT="0" distB="0" distL="0" distR="0">
            <wp:extent cx="6264000" cy="4806000"/>
            <wp:effectExtent l="0" t="0" r="381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000" cy="48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0432">
        <w:br w:type="page"/>
      </w:r>
      <w:r w:rsidR="009D14F0" w:rsidRPr="001B65E9">
        <w:rPr>
          <w:b/>
          <w:bCs/>
          <w:i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Trends in the AIF Market</w:t>
      </w:r>
    </w:p>
    <w:p w:rsidR="009D14F0" w:rsidRPr="00EA222B" w:rsidRDefault="00024985" w:rsidP="009D14F0">
      <w:pPr>
        <w:pStyle w:val="Footer"/>
        <w:tabs>
          <w:tab w:val="clear" w:pos="4320"/>
          <w:tab w:val="clear" w:pos="8640"/>
          <w:tab w:val="left" w:pos="4185"/>
        </w:tabs>
        <w:spacing w:line="260" w:lineRule="exact"/>
        <w:jc w:val="center"/>
        <w:rPr>
          <w:i/>
          <w:iCs/>
          <w:sz w:val="22"/>
          <w:szCs w:val="22"/>
          <w:lang w:val="en-US"/>
        </w:rPr>
      </w:pPr>
      <w:r w:rsidRPr="001B65E9"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Net Assets</w:t>
      </w:r>
      <w:r w:rsidR="009D14F0" w:rsidRPr="001B65E9"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by Investment Type</w:t>
      </w:r>
    </w:p>
    <w:p w:rsidR="009D14F0" w:rsidRPr="00EA222B" w:rsidRDefault="009D14F0" w:rsidP="009D14F0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color w:val="000000"/>
          <w:sz w:val="22"/>
          <w:szCs w:val="22"/>
          <w:lang w:val="en-US"/>
        </w:rPr>
      </w:pPr>
    </w:p>
    <w:p w:rsidR="009D14F0" w:rsidRPr="00EA222B" w:rsidRDefault="009D14F0" w:rsidP="009D14F0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b/>
          <w:bCs/>
          <w:color w:val="0000FF"/>
          <w:sz w:val="22"/>
          <w:szCs w:val="22"/>
          <w:lang w:val="en-US"/>
        </w:rPr>
      </w:pPr>
      <w:r w:rsidRPr="00EA222B">
        <w:rPr>
          <w:b/>
          <w:bCs/>
          <w:color w:val="0000FF"/>
          <w:sz w:val="22"/>
          <w:szCs w:val="22"/>
          <w:lang w:val="en-US"/>
        </w:rPr>
        <w:t xml:space="preserve">Net assets of </w:t>
      </w:r>
      <w:r w:rsidR="00D67209">
        <w:rPr>
          <w:b/>
          <w:bCs/>
          <w:color w:val="0000FF"/>
          <w:sz w:val="22"/>
          <w:szCs w:val="22"/>
          <w:lang w:val="en-US"/>
        </w:rPr>
        <w:t>AIF</w:t>
      </w:r>
      <w:r w:rsidR="00361684">
        <w:rPr>
          <w:b/>
          <w:bCs/>
          <w:color w:val="0000FF"/>
          <w:sz w:val="22"/>
          <w:szCs w:val="22"/>
          <w:lang w:val="en-US"/>
        </w:rPr>
        <w:t>s</w:t>
      </w:r>
      <w:r w:rsidR="007C6A8B">
        <w:rPr>
          <w:b/>
          <w:bCs/>
          <w:color w:val="0000FF"/>
          <w:sz w:val="22"/>
          <w:szCs w:val="22"/>
          <w:lang w:val="en-US"/>
        </w:rPr>
        <w:t xml:space="preserve"> de</w:t>
      </w:r>
      <w:r w:rsidR="009C315C">
        <w:rPr>
          <w:b/>
          <w:bCs/>
          <w:color w:val="0000FF"/>
          <w:sz w:val="22"/>
          <w:szCs w:val="22"/>
          <w:lang w:val="en-US"/>
        </w:rPr>
        <w:t xml:space="preserve">creased by </w:t>
      </w:r>
      <w:r w:rsidR="007C6A8B">
        <w:rPr>
          <w:b/>
          <w:bCs/>
          <w:color w:val="0000FF"/>
          <w:sz w:val="22"/>
          <w:szCs w:val="22"/>
          <w:lang w:val="en-US"/>
        </w:rPr>
        <w:t>0.4</w:t>
      </w:r>
      <w:r w:rsidR="008B480B">
        <w:rPr>
          <w:b/>
          <w:bCs/>
          <w:color w:val="0000FF"/>
          <w:sz w:val="22"/>
          <w:szCs w:val="22"/>
          <w:lang w:val="en-US"/>
        </w:rPr>
        <w:t xml:space="preserve"> percent to </w:t>
      </w:r>
      <w:r w:rsidR="00DD12A5">
        <w:rPr>
          <w:b/>
          <w:bCs/>
          <w:color w:val="0000FF"/>
          <w:sz w:val="22"/>
          <w:szCs w:val="22"/>
          <w:lang w:val="en-US"/>
        </w:rPr>
        <w:t xml:space="preserve">reach </w:t>
      </w:r>
      <w:r w:rsidR="00127649">
        <w:rPr>
          <w:b/>
          <w:bCs/>
          <w:color w:val="0000FF"/>
          <w:sz w:val="22"/>
          <w:szCs w:val="22"/>
          <w:lang w:val="en-US"/>
        </w:rPr>
        <w:t xml:space="preserve">EUR </w:t>
      </w:r>
      <w:r w:rsidR="00AF001C">
        <w:rPr>
          <w:b/>
          <w:bCs/>
          <w:color w:val="0000FF"/>
          <w:sz w:val="22"/>
          <w:szCs w:val="22"/>
          <w:lang w:val="en-US"/>
        </w:rPr>
        <w:t>5,</w:t>
      </w:r>
      <w:r w:rsidR="007C6A8B">
        <w:rPr>
          <w:b/>
          <w:bCs/>
          <w:color w:val="0000FF"/>
          <w:sz w:val="22"/>
          <w:szCs w:val="22"/>
          <w:lang w:val="en-US"/>
        </w:rPr>
        <w:t>872</w:t>
      </w:r>
      <w:r w:rsidR="00C24149">
        <w:rPr>
          <w:b/>
          <w:bCs/>
          <w:color w:val="0000FF"/>
          <w:sz w:val="22"/>
          <w:szCs w:val="22"/>
          <w:lang w:val="en-US"/>
        </w:rPr>
        <w:t xml:space="preserve"> </w:t>
      </w:r>
      <w:r w:rsidR="00470BE2">
        <w:rPr>
          <w:b/>
          <w:bCs/>
          <w:color w:val="0000FF"/>
          <w:sz w:val="22"/>
          <w:szCs w:val="22"/>
          <w:lang w:val="en-US"/>
        </w:rPr>
        <w:t>billion</w:t>
      </w:r>
      <w:r w:rsidR="009C315C">
        <w:rPr>
          <w:b/>
          <w:bCs/>
          <w:color w:val="0000FF"/>
          <w:sz w:val="22"/>
          <w:szCs w:val="22"/>
          <w:lang w:val="en-US"/>
        </w:rPr>
        <w:t xml:space="preserve"> at end </w:t>
      </w:r>
      <w:r w:rsidR="00C24149">
        <w:rPr>
          <w:b/>
          <w:bCs/>
          <w:color w:val="0000FF"/>
          <w:sz w:val="22"/>
          <w:szCs w:val="22"/>
          <w:lang w:val="en-US"/>
        </w:rPr>
        <w:t xml:space="preserve">March </w:t>
      </w:r>
      <w:r w:rsidR="007C6A8B">
        <w:rPr>
          <w:b/>
          <w:bCs/>
          <w:color w:val="0000FF"/>
          <w:sz w:val="22"/>
          <w:szCs w:val="22"/>
          <w:lang w:val="en-US"/>
        </w:rPr>
        <w:t>2018</w:t>
      </w:r>
      <w:r w:rsidR="008B480B">
        <w:rPr>
          <w:b/>
          <w:bCs/>
          <w:color w:val="0000FF"/>
          <w:sz w:val="22"/>
          <w:szCs w:val="22"/>
          <w:lang w:val="en-US"/>
        </w:rPr>
        <w:t>.</w:t>
      </w:r>
      <w:r w:rsidRPr="00EA222B">
        <w:rPr>
          <w:b/>
          <w:bCs/>
          <w:color w:val="0000FF"/>
          <w:sz w:val="22"/>
          <w:szCs w:val="22"/>
          <w:lang w:val="en-US"/>
        </w:rPr>
        <w:t xml:space="preserve"> </w:t>
      </w:r>
    </w:p>
    <w:p w:rsidR="009D14F0" w:rsidRPr="00EA222B" w:rsidRDefault="009D14F0" w:rsidP="009D14F0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b/>
          <w:bCs/>
          <w:color w:val="0000FF"/>
          <w:sz w:val="22"/>
          <w:szCs w:val="22"/>
          <w:lang w:val="en-US"/>
        </w:rPr>
      </w:pPr>
    </w:p>
    <w:p w:rsidR="00D021F0" w:rsidRPr="007C6A8B" w:rsidRDefault="007C6A8B" w:rsidP="007C6A8B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In Q1 2018,</w:t>
      </w:r>
      <w:r w:rsidR="00352B56">
        <w:rPr>
          <w:color w:val="000000"/>
          <w:sz w:val="22"/>
          <w:szCs w:val="22"/>
          <w:lang w:val="en-US"/>
        </w:rPr>
        <w:t xml:space="preserve"> only</w:t>
      </w:r>
      <w:r w:rsidR="007C796C">
        <w:rPr>
          <w:color w:val="000000"/>
          <w:sz w:val="22"/>
          <w:szCs w:val="22"/>
          <w:lang w:val="en-US"/>
        </w:rPr>
        <w:t xml:space="preserve"> “</w:t>
      </w:r>
      <w:r>
        <w:rPr>
          <w:color w:val="000000"/>
          <w:sz w:val="22"/>
          <w:szCs w:val="22"/>
          <w:lang w:val="en-US"/>
        </w:rPr>
        <w:t>other</w:t>
      </w:r>
      <w:r w:rsidR="007C796C">
        <w:rPr>
          <w:color w:val="000000"/>
          <w:sz w:val="22"/>
          <w:szCs w:val="22"/>
          <w:lang w:val="en-US"/>
        </w:rPr>
        <w:t xml:space="preserve">” AIF </w:t>
      </w:r>
      <w:r w:rsidR="00352B56">
        <w:rPr>
          <w:color w:val="000000"/>
          <w:sz w:val="22"/>
          <w:szCs w:val="22"/>
          <w:lang w:val="en-US"/>
        </w:rPr>
        <w:t xml:space="preserve">and real estate funds </w:t>
      </w:r>
      <w:r w:rsidRPr="007C6A8B">
        <w:rPr>
          <w:color w:val="000000"/>
          <w:sz w:val="22"/>
          <w:szCs w:val="22"/>
          <w:lang w:val="en-US"/>
        </w:rPr>
        <w:t>record</w:t>
      </w:r>
      <w:r w:rsidR="007C796C">
        <w:rPr>
          <w:color w:val="000000"/>
          <w:sz w:val="22"/>
          <w:szCs w:val="22"/>
          <w:lang w:val="en-US"/>
        </w:rPr>
        <w:t>ed asset growth</w:t>
      </w:r>
      <w:r w:rsidR="00352B56">
        <w:rPr>
          <w:color w:val="000000"/>
          <w:sz w:val="22"/>
          <w:szCs w:val="22"/>
          <w:lang w:val="en-US"/>
        </w:rPr>
        <w:t>, 1.6% and 1.4%, respectively</w:t>
      </w:r>
      <w:r w:rsidRPr="007C6A8B">
        <w:rPr>
          <w:color w:val="000000"/>
          <w:sz w:val="22"/>
          <w:szCs w:val="22"/>
          <w:lang w:val="en-US"/>
        </w:rPr>
        <w:t xml:space="preserve">. Decreases in net assets were recorded in </w:t>
      </w:r>
      <w:r w:rsidR="007C796C">
        <w:rPr>
          <w:color w:val="000000"/>
          <w:sz w:val="22"/>
          <w:szCs w:val="22"/>
          <w:lang w:val="en-US"/>
        </w:rPr>
        <w:t>guaranteed/protected funds (3.3</w:t>
      </w:r>
      <w:r w:rsidR="007C796C" w:rsidRPr="007C6A8B">
        <w:rPr>
          <w:color w:val="000000"/>
          <w:sz w:val="22"/>
          <w:szCs w:val="22"/>
          <w:lang w:val="en-US"/>
        </w:rPr>
        <w:t>%)</w:t>
      </w:r>
      <w:r w:rsidR="007C796C">
        <w:rPr>
          <w:color w:val="000000"/>
          <w:sz w:val="22"/>
          <w:szCs w:val="22"/>
          <w:lang w:val="en-US"/>
        </w:rPr>
        <w:t>, equity funds (3.2</w:t>
      </w:r>
      <w:r w:rsidRPr="007C6A8B">
        <w:rPr>
          <w:color w:val="000000"/>
          <w:sz w:val="22"/>
          <w:szCs w:val="22"/>
          <w:lang w:val="en-US"/>
        </w:rPr>
        <w:t>%)</w:t>
      </w:r>
      <w:r w:rsidR="00352B56">
        <w:rPr>
          <w:color w:val="000000"/>
          <w:sz w:val="22"/>
          <w:szCs w:val="22"/>
          <w:lang w:val="en-US"/>
        </w:rPr>
        <w:t>,</w:t>
      </w:r>
      <w:r w:rsidR="007C796C">
        <w:rPr>
          <w:color w:val="000000"/>
          <w:sz w:val="22"/>
          <w:szCs w:val="22"/>
          <w:lang w:val="en-US"/>
        </w:rPr>
        <w:t xml:space="preserve"> money market funds (3.1%)</w:t>
      </w:r>
      <w:r w:rsidR="002259C4">
        <w:rPr>
          <w:color w:val="000000"/>
          <w:sz w:val="22"/>
          <w:szCs w:val="22"/>
          <w:lang w:val="en-US"/>
        </w:rPr>
        <w:t>, multi asset funds (1.3%) and bond funds (1.3%)</w:t>
      </w:r>
      <w:r w:rsidR="007C796C">
        <w:rPr>
          <w:color w:val="000000"/>
          <w:sz w:val="22"/>
          <w:szCs w:val="22"/>
          <w:lang w:val="en-US"/>
        </w:rPr>
        <w:t>.</w:t>
      </w:r>
    </w:p>
    <w:p w:rsidR="007C6A8B" w:rsidRPr="007C796C" w:rsidRDefault="007C6A8B" w:rsidP="007C6A8B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color w:val="000000"/>
          <w:sz w:val="22"/>
          <w:szCs w:val="22"/>
          <w:lang w:val="en-US"/>
        </w:rPr>
      </w:pPr>
    </w:p>
    <w:p w:rsidR="00261CDE" w:rsidRPr="00276B08" w:rsidRDefault="007F78B5" w:rsidP="009D14F0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The</w:t>
      </w:r>
      <w:r w:rsidR="008B480B">
        <w:rPr>
          <w:color w:val="000000"/>
          <w:sz w:val="22"/>
          <w:szCs w:val="22"/>
          <w:lang w:val="en-US"/>
        </w:rPr>
        <w:t xml:space="preserve">re were </w:t>
      </w:r>
      <w:r w:rsidR="007C796C">
        <w:rPr>
          <w:color w:val="000000"/>
          <w:sz w:val="22"/>
          <w:szCs w:val="22"/>
          <w:lang w:val="en-US"/>
        </w:rPr>
        <w:t>28,</w:t>
      </w:r>
      <w:r w:rsidR="00D97ECD">
        <w:rPr>
          <w:color w:val="000000"/>
          <w:sz w:val="22"/>
          <w:szCs w:val="22"/>
          <w:lang w:val="en-US"/>
        </w:rPr>
        <w:t>437</w:t>
      </w:r>
      <w:r w:rsidR="001B2438">
        <w:rPr>
          <w:color w:val="000000"/>
          <w:sz w:val="22"/>
          <w:szCs w:val="22"/>
          <w:lang w:val="en-US"/>
        </w:rPr>
        <w:t xml:space="preserve"> AIF funds </w:t>
      </w:r>
      <w:r w:rsidR="009C315C">
        <w:rPr>
          <w:color w:val="000000"/>
          <w:sz w:val="22"/>
          <w:szCs w:val="22"/>
          <w:lang w:val="en-US"/>
        </w:rPr>
        <w:t xml:space="preserve">at end </w:t>
      </w:r>
      <w:r w:rsidR="009D21BE">
        <w:rPr>
          <w:color w:val="000000"/>
          <w:sz w:val="22"/>
          <w:szCs w:val="22"/>
          <w:lang w:val="en-US"/>
        </w:rPr>
        <w:t xml:space="preserve">March </w:t>
      </w:r>
      <w:r w:rsidR="007C796C">
        <w:rPr>
          <w:color w:val="000000"/>
          <w:sz w:val="22"/>
          <w:szCs w:val="22"/>
          <w:lang w:val="en-US"/>
        </w:rPr>
        <w:t>2018</w:t>
      </w:r>
      <w:r w:rsidR="009C315C">
        <w:rPr>
          <w:color w:val="000000"/>
          <w:sz w:val="22"/>
          <w:szCs w:val="22"/>
          <w:lang w:val="en-US"/>
        </w:rPr>
        <w:t xml:space="preserve">, compared </w:t>
      </w:r>
      <w:r w:rsidR="009C315C" w:rsidRPr="00F51BC0">
        <w:rPr>
          <w:sz w:val="22"/>
          <w:szCs w:val="22"/>
          <w:lang w:val="en-US"/>
        </w:rPr>
        <w:t xml:space="preserve">to </w:t>
      </w:r>
      <w:r w:rsidR="00F51BC0" w:rsidRPr="00F51BC0">
        <w:rPr>
          <w:sz w:val="22"/>
          <w:szCs w:val="22"/>
          <w:lang w:val="en-US"/>
        </w:rPr>
        <w:t>28,</w:t>
      </w:r>
      <w:r w:rsidR="00276B08">
        <w:rPr>
          <w:sz w:val="22"/>
          <w:szCs w:val="22"/>
          <w:lang w:val="en-US"/>
        </w:rPr>
        <w:t>153</w:t>
      </w:r>
      <w:r w:rsidR="00795DA0">
        <w:rPr>
          <w:sz w:val="22"/>
          <w:szCs w:val="22"/>
          <w:lang w:val="en-US"/>
        </w:rPr>
        <w:t xml:space="preserve"> </w:t>
      </w:r>
      <w:r w:rsidR="001B2438" w:rsidRPr="00F51BC0">
        <w:rPr>
          <w:sz w:val="22"/>
          <w:szCs w:val="22"/>
          <w:lang w:val="en-US"/>
        </w:rPr>
        <w:t>at end</w:t>
      </w:r>
      <w:r w:rsidR="008B480B" w:rsidRPr="00F51BC0">
        <w:rPr>
          <w:sz w:val="22"/>
          <w:szCs w:val="22"/>
          <w:lang w:val="en-US"/>
        </w:rPr>
        <w:t xml:space="preserve"> </w:t>
      </w:r>
      <w:r w:rsidR="002E3015" w:rsidRPr="00F51BC0">
        <w:rPr>
          <w:sz w:val="22"/>
          <w:szCs w:val="22"/>
          <w:lang w:val="en-US"/>
        </w:rPr>
        <w:t>201</w:t>
      </w:r>
      <w:r w:rsidR="002259C4">
        <w:rPr>
          <w:sz w:val="22"/>
          <w:szCs w:val="22"/>
          <w:lang w:val="en-US"/>
        </w:rPr>
        <w:t>7</w:t>
      </w:r>
      <w:r w:rsidR="009C315C" w:rsidRPr="00F51BC0">
        <w:rPr>
          <w:sz w:val="22"/>
          <w:szCs w:val="22"/>
          <w:lang w:val="en-US"/>
        </w:rPr>
        <w:t xml:space="preserve">. </w:t>
      </w:r>
    </w:p>
    <w:p w:rsidR="009C315C" w:rsidRDefault="00F77995" w:rsidP="009D14F0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color w:val="000000"/>
          <w:sz w:val="22"/>
          <w:szCs w:val="22"/>
          <w:lang w:val="en-US"/>
        </w:rPr>
      </w:pPr>
      <w:r w:rsidRPr="00F77995">
        <w:rPr>
          <w:noProof/>
          <w:lang w:val="nl-BE" w:eastAsia="nl-BE"/>
        </w:rPr>
        <w:drawing>
          <wp:anchor distT="0" distB="0" distL="114300" distR="114300" simplePos="0" relativeHeight="25177395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164906</wp:posOffset>
            </wp:positionV>
            <wp:extent cx="4770755" cy="7450455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55" cy="745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04091" w:rsidRPr="007E7173" w:rsidRDefault="00C04091" w:rsidP="007E7173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color w:val="000000"/>
          <w:sz w:val="22"/>
          <w:szCs w:val="22"/>
          <w:lang w:val="en-US"/>
        </w:rPr>
      </w:pPr>
    </w:p>
    <w:p w:rsidR="00C04091" w:rsidRPr="007E7173" w:rsidRDefault="00C04091" w:rsidP="007E7173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color w:val="000000"/>
          <w:sz w:val="22"/>
          <w:szCs w:val="22"/>
          <w:lang w:val="en-US"/>
        </w:rPr>
      </w:pPr>
    </w:p>
    <w:p w:rsidR="00FA63F0" w:rsidRPr="001B65E9" w:rsidRDefault="00A6458D" w:rsidP="00FA63F0">
      <w:pPr>
        <w:pStyle w:val="Footer"/>
        <w:jc w:val="center"/>
        <w:outlineLvl w:val="0"/>
        <w:rPr>
          <w:b/>
          <w:bCs/>
          <w:i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04091">
        <w:br w:type="page"/>
      </w:r>
      <w:r w:rsidR="007C30BC" w:rsidRPr="001B65E9">
        <w:rPr>
          <w:b/>
          <w:bCs/>
          <w:i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Trends in the AIF</w:t>
      </w:r>
      <w:r w:rsidR="00FA63F0" w:rsidRPr="001B65E9">
        <w:rPr>
          <w:b/>
          <w:bCs/>
          <w:i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Market</w:t>
      </w:r>
    </w:p>
    <w:p w:rsidR="00FA63F0" w:rsidRPr="00A5108A" w:rsidRDefault="00FA63F0" w:rsidP="00FA63F0">
      <w:pPr>
        <w:pStyle w:val="Footer"/>
        <w:tabs>
          <w:tab w:val="clear" w:pos="4320"/>
          <w:tab w:val="clear" w:pos="8640"/>
          <w:tab w:val="left" w:pos="4185"/>
        </w:tabs>
        <w:spacing w:line="260" w:lineRule="exact"/>
        <w:jc w:val="center"/>
        <w:rPr>
          <w:i/>
          <w:iCs/>
          <w:sz w:val="22"/>
          <w:szCs w:val="22"/>
          <w:lang w:val="en-US"/>
        </w:rPr>
      </w:pPr>
      <w:r w:rsidRPr="001B65E9"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Net Sales and </w:t>
      </w:r>
      <w:r w:rsidR="002B5177" w:rsidRPr="001B65E9"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Assets of</w:t>
      </w:r>
      <w:r w:rsidR="007F4664" w:rsidRPr="001B65E9"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Institutional </w:t>
      </w:r>
      <w:r w:rsidR="00D67209" w:rsidRPr="001B65E9"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AIF</w:t>
      </w:r>
      <w:r w:rsidR="00361684"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</w:p>
    <w:p w:rsidR="00FA63F0" w:rsidRPr="00A5108A" w:rsidRDefault="00FA63F0" w:rsidP="00FA63F0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color w:val="000000"/>
          <w:sz w:val="22"/>
          <w:szCs w:val="22"/>
          <w:lang w:val="en-US"/>
        </w:rPr>
      </w:pPr>
    </w:p>
    <w:p w:rsidR="00221202" w:rsidRPr="00A5108A" w:rsidRDefault="00BC0701" w:rsidP="00FA63F0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b/>
          <w:bCs/>
          <w:color w:val="0000FF"/>
          <w:sz w:val="22"/>
          <w:szCs w:val="22"/>
          <w:lang w:val="en-US"/>
        </w:rPr>
      </w:pPr>
      <w:r w:rsidRPr="00A5108A">
        <w:rPr>
          <w:b/>
          <w:bCs/>
          <w:color w:val="0000FF"/>
          <w:sz w:val="22"/>
          <w:szCs w:val="22"/>
          <w:lang w:val="en-US"/>
        </w:rPr>
        <w:t>Net assets of i</w:t>
      </w:r>
      <w:r w:rsidR="007F4664" w:rsidRPr="00A5108A">
        <w:rPr>
          <w:b/>
          <w:bCs/>
          <w:color w:val="0000FF"/>
          <w:sz w:val="22"/>
          <w:szCs w:val="22"/>
          <w:lang w:val="en-US"/>
        </w:rPr>
        <w:t xml:space="preserve">nstitutional </w:t>
      </w:r>
      <w:r w:rsidR="00D67209" w:rsidRPr="00A5108A">
        <w:rPr>
          <w:b/>
          <w:bCs/>
          <w:color w:val="0000FF"/>
          <w:sz w:val="22"/>
          <w:szCs w:val="22"/>
          <w:lang w:val="en-US"/>
        </w:rPr>
        <w:t>AIF</w:t>
      </w:r>
      <w:r w:rsidR="00361684">
        <w:rPr>
          <w:b/>
          <w:bCs/>
          <w:color w:val="0000FF"/>
          <w:sz w:val="22"/>
          <w:szCs w:val="22"/>
          <w:lang w:val="en-US"/>
        </w:rPr>
        <w:t>s</w:t>
      </w:r>
      <w:r w:rsidR="002B5177" w:rsidRPr="00A5108A">
        <w:rPr>
          <w:b/>
          <w:bCs/>
          <w:color w:val="0000FF"/>
          <w:sz w:val="22"/>
          <w:szCs w:val="22"/>
          <w:lang w:val="en-US"/>
        </w:rPr>
        <w:t>, which are AIF</w:t>
      </w:r>
      <w:r w:rsidR="00361684">
        <w:rPr>
          <w:b/>
          <w:bCs/>
          <w:color w:val="0000FF"/>
          <w:sz w:val="22"/>
          <w:szCs w:val="22"/>
          <w:lang w:val="en-US"/>
        </w:rPr>
        <w:t>s</w:t>
      </w:r>
      <w:r w:rsidR="002B5177" w:rsidRPr="00A5108A">
        <w:rPr>
          <w:b/>
          <w:bCs/>
          <w:color w:val="0000FF"/>
          <w:sz w:val="22"/>
          <w:szCs w:val="22"/>
          <w:lang w:val="en-US"/>
        </w:rPr>
        <w:t xml:space="preserve"> reserved for</w:t>
      </w:r>
      <w:r w:rsidR="007F4664" w:rsidRPr="00A5108A">
        <w:rPr>
          <w:b/>
          <w:bCs/>
          <w:color w:val="0000FF"/>
          <w:sz w:val="22"/>
          <w:szCs w:val="22"/>
          <w:lang w:val="en-US"/>
        </w:rPr>
        <w:t xml:space="preserve"> institutional investor</w:t>
      </w:r>
      <w:r w:rsidR="002B5177" w:rsidRPr="00A5108A">
        <w:rPr>
          <w:b/>
          <w:bCs/>
          <w:color w:val="0000FF"/>
          <w:sz w:val="22"/>
          <w:szCs w:val="22"/>
          <w:lang w:val="en-US"/>
        </w:rPr>
        <w:t>s</w:t>
      </w:r>
      <w:r w:rsidR="007F4664" w:rsidRPr="00A5108A">
        <w:rPr>
          <w:b/>
          <w:bCs/>
          <w:color w:val="0000FF"/>
          <w:sz w:val="22"/>
          <w:szCs w:val="22"/>
          <w:lang w:val="en-US"/>
        </w:rPr>
        <w:t>,</w:t>
      </w:r>
      <w:r w:rsidR="00FA63F0" w:rsidRPr="00A5108A">
        <w:rPr>
          <w:b/>
          <w:bCs/>
          <w:color w:val="0000FF"/>
          <w:sz w:val="22"/>
          <w:szCs w:val="22"/>
          <w:lang w:val="en-US"/>
        </w:rPr>
        <w:t xml:space="preserve"> </w:t>
      </w:r>
      <w:r w:rsidR="0018744E">
        <w:rPr>
          <w:b/>
          <w:bCs/>
          <w:color w:val="0000FF"/>
          <w:sz w:val="22"/>
          <w:szCs w:val="22"/>
          <w:lang w:val="en-US"/>
        </w:rPr>
        <w:t>increased by 1.1</w:t>
      </w:r>
      <w:r w:rsidR="00292DC3" w:rsidRPr="00A5108A">
        <w:rPr>
          <w:b/>
          <w:bCs/>
          <w:color w:val="0000FF"/>
          <w:sz w:val="22"/>
          <w:szCs w:val="22"/>
          <w:lang w:val="en-US"/>
        </w:rPr>
        <w:t>%</w:t>
      </w:r>
      <w:r w:rsidR="007F4664" w:rsidRPr="00A5108A">
        <w:rPr>
          <w:b/>
          <w:bCs/>
          <w:color w:val="0000FF"/>
          <w:sz w:val="22"/>
          <w:szCs w:val="22"/>
          <w:lang w:val="en-US"/>
        </w:rPr>
        <w:t xml:space="preserve"> </w:t>
      </w:r>
      <w:r w:rsidR="00286DC4" w:rsidRPr="00A5108A">
        <w:rPr>
          <w:b/>
          <w:bCs/>
          <w:color w:val="0000FF"/>
          <w:sz w:val="22"/>
          <w:szCs w:val="22"/>
          <w:lang w:val="en-US"/>
        </w:rPr>
        <w:t xml:space="preserve">to </w:t>
      </w:r>
      <w:r w:rsidR="00D537A6" w:rsidRPr="00A5108A">
        <w:rPr>
          <w:b/>
          <w:bCs/>
          <w:color w:val="0000FF"/>
          <w:sz w:val="22"/>
          <w:szCs w:val="22"/>
          <w:lang w:val="en-US"/>
        </w:rPr>
        <w:t xml:space="preserve">EUR </w:t>
      </w:r>
      <w:r w:rsidR="00A5108A">
        <w:rPr>
          <w:b/>
          <w:bCs/>
          <w:color w:val="0000FF"/>
          <w:sz w:val="22"/>
          <w:szCs w:val="22"/>
          <w:lang w:val="en-US"/>
        </w:rPr>
        <w:t>2,</w:t>
      </w:r>
      <w:r w:rsidR="003573A4">
        <w:rPr>
          <w:b/>
          <w:bCs/>
          <w:color w:val="0000FF"/>
          <w:sz w:val="22"/>
          <w:szCs w:val="22"/>
          <w:lang w:val="en-US"/>
        </w:rPr>
        <w:t>8</w:t>
      </w:r>
      <w:r w:rsidR="0018744E">
        <w:rPr>
          <w:b/>
          <w:bCs/>
          <w:color w:val="0000FF"/>
          <w:sz w:val="22"/>
          <w:szCs w:val="22"/>
          <w:lang w:val="en-US"/>
        </w:rPr>
        <w:t>91</w:t>
      </w:r>
      <w:r w:rsidR="000B52FE" w:rsidRPr="00A5108A">
        <w:rPr>
          <w:b/>
          <w:bCs/>
          <w:color w:val="0000FF"/>
          <w:sz w:val="22"/>
          <w:szCs w:val="22"/>
          <w:lang w:val="en-US"/>
        </w:rPr>
        <w:t xml:space="preserve"> </w:t>
      </w:r>
      <w:r w:rsidR="00974E43" w:rsidRPr="00A5108A">
        <w:rPr>
          <w:b/>
          <w:bCs/>
          <w:color w:val="0000FF"/>
          <w:sz w:val="22"/>
          <w:szCs w:val="22"/>
          <w:lang w:val="en-US"/>
        </w:rPr>
        <w:t>billion</w:t>
      </w:r>
      <w:r w:rsidR="00D52FA4">
        <w:rPr>
          <w:b/>
          <w:bCs/>
          <w:color w:val="0000FF"/>
          <w:sz w:val="22"/>
          <w:szCs w:val="22"/>
          <w:lang w:val="en-US"/>
        </w:rPr>
        <w:t xml:space="preserve"> at end </w:t>
      </w:r>
      <w:r w:rsidR="003573A4">
        <w:rPr>
          <w:b/>
          <w:bCs/>
          <w:color w:val="0000FF"/>
          <w:sz w:val="22"/>
          <w:szCs w:val="22"/>
          <w:lang w:val="en-US"/>
        </w:rPr>
        <w:t>Q1 2018</w:t>
      </w:r>
      <w:r w:rsidR="00FA63F0" w:rsidRPr="00A5108A">
        <w:rPr>
          <w:b/>
          <w:bCs/>
          <w:color w:val="0000FF"/>
          <w:sz w:val="22"/>
          <w:szCs w:val="22"/>
          <w:lang w:val="en-US"/>
        </w:rPr>
        <w:t xml:space="preserve">. </w:t>
      </w:r>
    </w:p>
    <w:p w:rsidR="00BC0701" w:rsidRPr="00A5108A" w:rsidRDefault="00BC0701" w:rsidP="00FA63F0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b/>
          <w:bCs/>
          <w:color w:val="0000FF"/>
          <w:sz w:val="22"/>
          <w:szCs w:val="22"/>
          <w:lang w:val="en-US"/>
        </w:rPr>
      </w:pPr>
    </w:p>
    <w:p w:rsidR="004538B6" w:rsidRPr="00AE58B0" w:rsidRDefault="00812F32" w:rsidP="00FA63F0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bCs/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 xml:space="preserve">Net assets of </w:t>
      </w:r>
      <w:r w:rsidRPr="00812F32">
        <w:rPr>
          <w:color w:val="000000"/>
          <w:sz w:val="22"/>
          <w:szCs w:val="22"/>
        </w:rPr>
        <w:t>institutional real es</w:t>
      </w:r>
      <w:r w:rsidR="001E78F2">
        <w:rPr>
          <w:color w:val="000000"/>
          <w:sz w:val="22"/>
          <w:szCs w:val="22"/>
        </w:rPr>
        <w:t xml:space="preserve">tate funds increased by 2.9% to </w:t>
      </w:r>
      <w:r w:rsidRPr="00812F32">
        <w:rPr>
          <w:color w:val="000000"/>
          <w:sz w:val="22"/>
          <w:szCs w:val="22"/>
        </w:rPr>
        <w:t>EUR 189 billion, followed by “other” institutional funds (2.8% to EUR 359 billion). The other</w:t>
      </w:r>
      <w:r w:rsidR="00321792" w:rsidRPr="00812F32">
        <w:rPr>
          <w:color w:val="000000"/>
          <w:sz w:val="22"/>
          <w:szCs w:val="22"/>
        </w:rPr>
        <w:t xml:space="preserve"> </w:t>
      </w:r>
      <w:r w:rsidR="00974A0D" w:rsidRPr="00812F32">
        <w:rPr>
          <w:color w:val="000000"/>
          <w:sz w:val="22"/>
          <w:szCs w:val="22"/>
        </w:rPr>
        <w:t>categories of institutional AIF</w:t>
      </w:r>
      <w:r w:rsidR="00361684" w:rsidRPr="00812F32">
        <w:rPr>
          <w:color w:val="000000"/>
          <w:sz w:val="22"/>
          <w:szCs w:val="22"/>
        </w:rPr>
        <w:t>s</w:t>
      </w:r>
      <w:r w:rsidR="00974A0D" w:rsidRPr="00812F32">
        <w:rPr>
          <w:color w:val="000000"/>
          <w:sz w:val="22"/>
          <w:szCs w:val="22"/>
        </w:rPr>
        <w:t xml:space="preserve"> exp</w:t>
      </w:r>
      <w:r w:rsidR="00AE58B0" w:rsidRPr="00812F32">
        <w:rPr>
          <w:color w:val="000000"/>
          <w:sz w:val="22"/>
          <w:szCs w:val="22"/>
        </w:rPr>
        <w:t>erienced a decrease in net asset</w:t>
      </w:r>
      <w:r w:rsidR="00597754">
        <w:rPr>
          <w:color w:val="000000"/>
          <w:sz w:val="22"/>
          <w:szCs w:val="22"/>
        </w:rPr>
        <w:t>s</w:t>
      </w:r>
      <w:r w:rsidR="0018744E" w:rsidRPr="00812F32">
        <w:rPr>
          <w:color w:val="000000"/>
          <w:sz w:val="22"/>
          <w:szCs w:val="22"/>
        </w:rPr>
        <w:t>.</w:t>
      </w:r>
      <w:r w:rsidR="00974A0D" w:rsidRPr="00812F32">
        <w:rPr>
          <w:color w:val="000000"/>
          <w:sz w:val="22"/>
          <w:szCs w:val="22"/>
        </w:rPr>
        <w:t xml:space="preserve"> </w:t>
      </w:r>
      <w:r w:rsidR="0018744E" w:rsidRPr="00812F32">
        <w:rPr>
          <w:bCs/>
          <w:color w:val="000000"/>
          <w:sz w:val="22"/>
          <w:szCs w:val="22"/>
          <w:lang w:val="en-US"/>
        </w:rPr>
        <w:t>M</w:t>
      </w:r>
      <w:r w:rsidR="00265A6C">
        <w:rPr>
          <w:bCs/>
          <w:color w:val="000000"/>
          <w:sz w:val="22"/>
          <w:szCs w:val="22"/>
          <w:lang w:val="en-US"/>
        </w:rPr>
        <w:t>oney market funds</w:t>
      </w:r>
      <w:r w:rsidR="00974A0D" w:rsidRPr="00812F32">
        <w:rPr>
          <w:color w:val="000000"/>
          <w:sz w:val="22"/>
          <w:szCs w:val="22"/>
        </w:rPr>
        <w:t xml:space="preserve"> decr</w:t>
      </w:r>
      <w:r w:rsidR="0018744E" w:rsidRPr="00812F32">
        <w:rPr>
          <w:color w:val="000000"/>
          <w:sz w:val="22"/>
          <w:szCs w:val="22"/>
        </w:rPr>
        <w:t xml:space="preserve">eased by 4.8% to EUR 10 billion, followed by </w:t>
      </w:r>
      <w:r w:rsidR="003357FA" w:rsidRPr="00812F32">
        <w:rPr>
          <w:bCs/>
          <w:color w:val="000000"/>
          <w:sz w:val="22"/>
          <w:szCs w:val="22"/>
          <w:lang w:val="en-US"/>
        </w:rPr>
        <w:t xml:space="preserve">equity funds </w:t>
      </w:r>
      <w:r w:rsidR="0018744E" w:rsidRPr="00812F32">
        <w:rPr>
          <w:bCs/>
          <w:color w:val="000000"/>
          <w:sz w:val="22"/>
          <w:szCs w:val="22"/>
          <w:lang w:val="en-US"/>
        </w:rPr>
        <w:t>(</w:t>
      </w:r>
      <w:r w:rsidR="00AE58B0" w:rsidRPr="00812F32">
        <w:rPr>
          <w:bCs/>
          <w:color w:val="000000"/>
          <w:sz w:val="22"/>
          <w:szCs w:val="22"/>
          <w:lang w:val="en-US"/>
        </w:rPr>
        <w:t xml:space="preserve">2.4%, to EUR </w:t>
      </w:r>
      <w:r w:rsidR="00FE7CCB">
        <w:rPr>
          <w:bCs/>
          <w:color w:val="000000"/>
          <w:sz w:val="22"/>
          <w:szCs w:val="22"/>
          <w:lang w:val="en-US"/>
        </w:rPr>
        <w:t>235</w:t>
      </w:r>
      <w:r w:rsidR="00AE58B0" w:rsidRPr="00812F32">
        <w:rPr>
          <w:bCs/>
          <w:color w:val="000000"/>
          <w:sz w:val="22"/>
          <w:szCs w:val="22"/>
          <w:lang w:val="en-US"/>
        </w:rPr>
        <w:t xml:space="preserve"> billion</w:t>
      </w:r>
      <w:r w:rsidR="0018744E" w:rsidRPr="00812F32">
        <w:rPr>
          <w:bCs/>
          <w:color w:val="000000"/>
          <w:sz w:val="22"/>
          <w:szCs w:val="22"/>
          <w:lang w:val="en-US"/>
        </w:rPr>
        <w:t>), bond funds (0.</w:t>
      </w:r>
      <w:r w:rsidR="00FE7CCB">
        <w:rPr>
          <w:bCs/>
          <w:color w:val="000000"/>
          <w:sz w:val="22"/>
          <w:szCs w:val="22"/>
          <w:lang w:val="en-US"/>
        </w:rPr>
        <w:t>4</w:t>
      </w:r>
      <w:r w:rsidR="0018744E" w:rsidRPr="00812F32">
        <w:rPr>
          <w:bCs/>
          <w:color w:val="000000"/>
          <w:sz w:val="22"/>
          <w:szCs w:val="22"/>
          <w:lang w:val="en-US"/>
        </w:rPr>
        <w:t>% to EUR 568 billion)</w:t>
      </w:r>
      <w:r w:rsidR="00AE58B0" w:rsidRPr="00812F32">
        <w:rPr>
          <w:bCs/>
          <w:color w:val="000000"/>
          <w:sz w:val="22"/>
          <w:szCs w:val="22"/>
          <w:lang w:val="en-US"/>
        </w:rPr>
        <w:t xml:space="preserve"> and </w:t>
      </w:r>
      <w:r w:rsidR="001E78F2">
        <w:rPr>
          <w:bCs/>
          <w:color w:val="000000"/>
          <w:sz w:val="22"/>
          <w:szCs w:val="22"/>
          <w:lang w:val="en-US"/>
        </w:rPr>
        <w:t>multi-</w:t>
      </w:r>
      <w:r w:rsidR="0018744E" w:rsidRPr="00812F32">
        <w:rPr>
          <w:bCs/>
          <w:color w:val="000000"/>
          <w:sz w:val="22"/>
          <w:szCs w:val="22"/>
          <w:lang w:val="en-US"/>
        </w:rPr>
        <w:t>asset funds (0.1% to EUR 1,014 billion)</w:t>
      </w:r>
      <w:r>
        <w:rPr>
          <w:bCs/>
          <w:color w:val="000000"/>
          <w:sz w:val="22"/>
          <w:szCs w:val="22"/>
          <w:lang w:val="en-US"/>
        </w:rPr>
        <w:t>.</w:t>
      </w:r>
    </w:p>
    <w:p w:rsidR="00E25A1D" w:rsidRPr="00A5108A" w:rsidRDefault="00E25A1D" w:rsidP="00FA63F0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bCs/>
          <w:color w:val="000000"/>
          <w:sz w:val="22"/>
          <w:szCs w:val="22"/>
        </w:rPr>
      </w:pPr>
    </w:p>
    <w:p w:rsidR="00FA63F0" w:rsidRPr="007E7173" w:rsidRDefault="00804404" w:rsidP="00FA63F0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bCs/>
          <w:color w:val="000000"/>
          <w:sz w:val="22"/>
          <w:szCs w:val="22"/>
        </w:rPr>
      </w:pPr>
      <w:r w:rsidRPr="00A5108A">
        <w:rPr>
          <w:color w:val="000000"/>
          <w:sz w:val="22"/>
          <w:szCs w:val="22"/>
          <w:lang w:val="en-US"/>
        </w:rPr>
        <w:t>I</w:t>
      </w:r>
      <w:r w:rsidR="00FC0050" w:rsidRPr="00A5108A">
        <w:rPr>
          <w:color w:val="000000"/>
          <w:sz w:val="22"/>
          <w:szCs w:val="22"/>
          <w:lang w:val="en-US"/>
        </w:rPr>
        <w:t xml:space="preserve">nstitutional </w:t>
      </w:r>
      <w:r w:rsidR="00D12669" w:rsidRPr="00A5108A">
        <w:rPr>
          <w:color w:val="000000"/>
          <w:sz w:val="22"/>
          <w:szCs w:val="22"/>
          <w:lang w:val="en-US"/>
        </w:rPr>
        <w:t>AIF</w:t>
      </w:r>
      <w:r w:rsidR="007E7173">
        <w:rPr>
          <w:color w:val="000000"/>
          <w:sz w:val="22"/>
          <w:szCs w:val="22"/>
          <w:lang w:val="en-US"/>
        </w:rPr>
        <w:t>s</w:t>
      </w:r>
      <w:r w:rsidR="00C82188" w:rsidRPr="00A5108A">
        <w:rPr>
          <w:color w:val="000000"/>
          <w:sz w:val="22"/>
          <w:szCs w:val="22"/>
          <w:lang w:val="en-US"/>
        </w:rPr>
        <w:t xml:space="preserve"> </w:t>
      </w:r>
      <w:r w:rsidR="00E25A1D" w:rsidRPr="00A5108A">
        <w:rPr>
          <w:color w:val="000000"/>
          <w:sz w:val="22"/>
          <w:szCs w:val="22"/>
          <w:lang w:val="en-US"/>
        </w:rPr>
        <w:t>r</w:t>
      </w:r>
      <w:r w:rsidR="00550276">
        <w:rPr>
          <w:color w:val="000000"/>
          <w:sz w:val="22"/>
          <w:szCs w:val="22"/>
          <w:lang w:val="en-US"/>
        </w:rPr>
        <w:t>ecorded</w:t>
      </w:r>
      <w:r w:rsidR="00E25A1D" w:rsidRPr="00A5108A">
        <w:rPr>
          <w:color w:val="000000"/>
          <w:sz w:val="22"/>
          <w:szCs w:val="22"/>
          <w:lang w:val="en-US"/>
        </w:rPr>
        <w:t xml:space="preserve"> </w:t>
      </w:r>
      <w:r w:rsidR="00DE5892" w:rsidRPr="00A5108A">
        <w:rPr>
          <w:color w:val="000000"/>
          <w:sz w:val="22"/>
          <w:szCs w:val="22"/>
          <w:lang w:val="en-US"/>
        </w:rPr>
        <w:t xml:space="preserve">net sales of </w:t>
      </w:r>
      <w:r w:rsidR="00311F0F" w:rsidRPr="00A5108A">
        <w:rPr>
          <w:color w:val="000000"/>
          <w:sz w:val="22"/>
          <w:szCs w:val="22"/>
          <w:lang w:val="en-US"/>
        </w:rPr>
        <w:t xml:space="preserve">EUR </w:t>
      </w:r>
      <w:r w:rsidR="001C6BCF">
        <w:rPr>
          <w:color w:val="000000"/>
          <w:sz w:val="22"/>
          <w:szCs w:val="22"/>
          <w:lang w:val="en-US"/>
        </w:rPr>
        <w:t>57</w:t>
      </w:r>
      <w:r w:rsidR="00C5258E">
        <w:rPr>
          <w:color w:val="000000"/>
          <w:sz w:val="22"/>
          <w:szCs w:val="22"/>
          <w:lang w:val="en-US"/>
        </w:rPr>
        <w:t xml:space="preserve"> </w:t>
      </w:r>
      <w:r w:rsidR="00146147">
        <w:rPr>
          <w:color w:val="000000"/>
          <w:sz w:val="22"/>
          <w:szCs w:val="22"/>
          <w:lang w:val="en-US"/>
        </w:rPr>
        <w:t xml:space="preserve">billion in </w:t>
      </w:r>
      <w:r w:rsidR="001C6BCF">
        <w:rPr>
          <w:color w:val="000000"/>
          <w:sz w:val="22"/>
          <w:szCs w:val="22"/>
          <w:lang w:val="en-US"/>
        </w:rPr>
        <w:t xml:space="preserve">Q1 2018, </w:t>
      </w:r>
      <w:r w:rsidR="00321792">
        <w:rPr>
          <w:color w:val="000000"/>
          <w:sz w:val="22"/>
          <w:szCs w:val="22"/>
          <w:lang w:val="en-US"/>
        </w:rPr>
        <w:t xml:space="preserve">up from </w:t>
      </w:r>
      <w:r w:rsidR="00146147">
        <w:rPr>
          <w:color w:val="000000"/>
          <w:sz w:val="22"/>
          <w:szCs w:val="22"/>
          <w:lang w:val="en-US"/>
        </w:rPr>
        <w:t xml:space="preserve">EUR </w:t>
      </w:r>
      <w:r w:rsidR="001C6BCF">
        <w:rPr>
          <w:color w:val="000000"/>
          <w:sz w:val="22"/>
          <w:szCs w:val="22"/>
          <w:lang w:val="en-US"/>
        </w:rPr>
        <w:t>39</w:t>
      </w:r>
      <w:r w:rsidR="00C5258E">
        <w:rPr>
          <w:color w:val="000000"/>
          <w:sz w:val="22"/>
          <w:szCs w:val="22"/>
          <w:lang w:val="en-US"/>
        </w:rPr>
        <w:t xml:space="preserve"> </w:t>
      </w:r>
      <w:r w:rsidR="00812F32">
        <w:rPr>
          <w:color w:val="000000"/>
          <w:sz w:val="22"/>
          <w:szCs w:val="22"/>
          <w:lang w:val="en-US"/>
        </w:rPr>
        <w:t>billion in</w:t>
      </w:r>
      <w:r w:rsidR="00321792">
        <w:rPr>
          <w:color w:val="000000"/>
          <w:sz w:val="22"/>
          <w:szCs w:val="22"/>
          <w:lang w:val="en-US"/>
        </w:rPr>
        <w:t xml:space="preserve"> the last quarter of 2017</w:t>
      </w:r>
      <w:r w:rsidR="00146147">
        <w:rPr>
          <w:color w:val="000000"/>
          <w:sz w:val="22"/>
          <w:szCs w:val="22"/>
          <w:lang w:val="en-US"/>
        </w:rPr>
        <w:t>.</w:t>
      </w:r>
    </w:p>
    <w:p w:rsidR="00FA63F0" w:rsidRPr="007E7173" w:rsidRDefault="00FA63F0" w:rsidP="007E7173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bCs/>
          <w:color w:val="000000"/>
          <w:sz w:val="22"/>
          <w:szCs w:val="22"/>
        </w:rPr>
      </w:pPr>
    </w:p>
    <w:p w:rsidR="00BD1D3E" w:rsidRPr="007E7173" w:rsidRDefault="00F669DD" w:rsidP="007E7173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bCs/>
          <w:color w:val="000000"/>
          <w:sz w:val="22"/>
          <w:szCs w:val="22"/>
        </w:rPr>
      </w:pPr>
      <w:r w:rsidRPr="00F669DD">
        <w:rPr>
          <w:noProof/>
          <w:lang w:val="nl-BE" w:eastAsia="nl-BE"/>
        </w:rPr>
        <w:drawing>
          <wp:anchor distT="0" distB="0" distL="114300" distR="114300" simplePos="0" relativeHeight="25177190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26766</wp:posOffset>
            </wp:positionV>
            <wp:extent cx="4589145" cy="6417945"/>
            <wp:effectExtent l="0" t="0" r="1905" b="190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145" cy="641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50C28" w:rsidRPr="007E7173" w:rsidRDefault="00650C28" w:rsidP="007E7173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bCs/>
          <w:color w:val="000000"/>
          <w:sz w:val="22"/>
          <w:szCs w:val="22"/>
        </w:rPr>
      </w:pPr>
    </w:p>
    <w:p w:rsidR="00864931" w:rsidRPr="007E7173" w:rsidRDefault="00864931" w:rsidP="007E7173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bCs/>
          <w:color w:val="000000"/>
          <w:sz w:val="22"/>
          <w:szCs w:val="22"/>
        </w:rPr>
      </w:pPr>
    </w:p>
    <w:p w:rsidR="00650C28" w:rsidRPr="007E7173" w:rsidRDefault="00650C28" w:rsidP="007E7173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bCs/>
          <w:color w:val="000000"/>
          <w:sz w:val="22"/>
          <w:szCs w:val="22"/>
        </w:rPr>
      </w:pPr>
    </w:p>
    <w:p w:rsidR="00650C28" w:rsidRPr="007E7173" w:rsidRDefault="00650C28" w:rsidP="007E7173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bCs/>
          <w:color w:val="000000"/>
          <w:sz w:val="22"/>
          <w:szCs w:val="22"/>
        </w:rPr>
      </w:pPr>
    </w:p>
    <w:p w:rsidR="007C30BC" w:rsidRPr="001B65E9" w:rsidRDefault="003219C2" w:rsidP="007E7173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E7173">
        <w:rPr>
          <w:bCs/>
          <w:color w:val="000000"/>
          <w:sz w:val="22"/>
          <w:szCs w:val="22"/>
        </w:rPr>
        <w:br w:type="page"/>
      </w:r>
      <w:r w:rsidR="00B22438">
        <w:rPr>
          <w:bCs/>
          <w:color w:val="000000"/>
          <w:sz w:val="22"/>
          <w:szCs w:val="22"/>
        </w:rPr>
        <w:t xml:space="preserve">                                                              </w:t>
      </w:r>
      <w:r w:rsidR="007C30BC" w:rsidRPr="001B65E9"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Trends in the AIF Market</w:t>
      </w:r>
    </w:p>
    <w:p w:rsidR="007C30BC" w:rsidRPr="001B65E9" w:rsidRDefault="007C30BC" w:rsidP="007C30BC">
      <w:pPr>
        <w:pStyle w:val="Footer"/>
        <w:jc w:val="center"/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B65E9"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Net Assets by Country of Domiciliation</w:t>
      </w:r>
    </w:p>
    <w:p w:rsidR="007C30BC" w:rsidRDefault="007C30BC" w:rsidP="007C30BC">
      <w:pPr>
        <w:pStyle w:val="FootnoteText"/>
        <w:jc w:val="both"/>
        <w:rPr>
          <w:bCs/>
          <w:color w:val="000000"/>
          <w:sz w:val="22"/>
          <w:szCs w:val="22"/>
        </w:rPr>
      </w:pPr>
    </w:p>
    <w:p w:rsidR="00DA2647" w:rsidRPr="00EA222B" w:rsidRDefault="00DA2647" w:rsidP="00DA2647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b/>
          <w:bCs/>
          <w:color w:val="0000FF"/>
          <w:sz w:val="22"/>
          <w:szCs w:val="22"/>
          <w:lang w:val="en-US"/>
        </w:rPr>
      </w:pPr>
      <w:r w:rsidRPr="00EA222B">
        <w:rPr>
          <w:b/>
          <w:bCs/>
          <w:color w:val="0000FF"/>
          <w:sz w:val="22"/>
          <w:szCs w:val="22"/>
          <w:lang w:val="en-US"/>
        </w:rPr>
        <w:t xml:space="preserve">Net assets of </w:t>
      </w:r>
      <w:r>
        <w:rPr>
          <w:b/>
          <w:bCs/>
          <w:color w:val="0000FF"/>
          <w:sz w:val="22"/>
          <w:szCs w:val="22"/>
          <w:lang w:val="en-US"/>
        </w:rPr>
        <w:t>AIF</w:t>
      </w:r>
      <w:r w:rsidR="00361684">
        <w:rPr>
          <w:b/>
          <w:bCs/>
          <w:color w:val="0000FF"/>
          <w:sz w:val="22"/>
          <w:szCs w:val="22"/>
          <w:lang w:val="en-US"/>
        </w:rPr>
        <w:t>s</w:t>
      </w:r>
      <w:r>
        <w:rPr>
          <w:b/>
          <w:bCs/>
          <w:color w:val="0000FF"/>
          <w:sz w:val="22"/>
          <w:szCs w:val="22"/>
          <w:lang w:val="en-US"/>
        </w:rPr>
        <w:t xml:space="preserve"> </w:t>
      </w:r>
      <w:r w:rsidR="0080366D">
        <w:rPr>
          <w:b/>
          <w:bCs/>
          <w:color w:val="0000FF"/>
          <w:sz w:val="22"/>
          <w:szCs w:val="22"/>
          <w:lang w:val="en-US"/>
        </w:rPr>
        <w:t>de</w:t>
      </w:r>
      <w:r w:rsidR="00DD7BD6">
        <w:rPr>
          <w:b/>
          <w:bCs/>
          <w:color w:val="0000FF"/>
          <w:sz w:val="22"/>
          <w:szCs w:val="22"/>
          <w:lang w:val="en-US"/>
        </w:rPr>
        <w:t>crease</w:t>
      </w:r>
      <w:r w:rsidR="00583767">
        <w:rPr>
          <w:b/>
          <w:bCs/>
          <w:color w:val="0000FF"/>
          <w:sz w:val="22"/>
          <w:szCs w:val="22"/>
          <w:lang w:val="en-US"/>
        </w:rPr>
        <w:t>d</w:t>
      </w:r>
      <w:r w:rsidRPr="00EA222B">
        <w:rPr>
          <w:b/>
          <w:bCs/>
          <w:color w:val="0000FF"/>
          <w:sz w:val="22"/>
          <w:szCs w:val="22"/>
          <w:lang w:val="en-US"/>
        </w:rPr>
        <w:t xml:space="preserve"> </w:t>
      </w:r>
      <w:r w:rsidR="0080366D">
        <w:rPr>
          <w:b/>
          <w:bCs/>
          <w:color w:val="0000FF"/>
          <w:sz w:val="22"/>
          <w:szCs w:val="22"/>
          <w:lang w:val="en-US"/>
        </w:rPr>
        <w:t>0.4</w:t>
      </w:r>
      <w:r w:rsidR="008F2FA7">
        <w:rPr>
          <w:b/>
          <w:bCs/>
          <w:color w:val="0000FF"/>
          <w:sz w:val="22"/>
          <w:szCs w:val="22"/>
          <w:lang w:val="en-US"/>
        </w:rPr>
        <w:t xml:space="preserve"> </w:t>
      </w:r>
      <w:r w:rsidR="003562CE">
        <w:rPr>
          <w:b/>
          <w:bCs/>
          <w:color w:val="0000FF"/>
          <w:sz w:val="22"/>
          <w:szCs w:val="22"/>
          <w:lang w:val="en-US"/>
        </w:rPr>
        <w:t xml:space="preserve">percent </w:t>
      </w:r>
      <w:r w:rsidR="00C33653">
        <w:rPr>
          <w:b/>
          <w:bCs/>
          <w:color w:val="0000FF"/>
          <w:sz w:val="22"/>
          <w:szCs w:val="22"/>
          <w:lang w:val="en-US"/>
        </w:rPr>
        <w:t xml:space="preserve">in Q1 </w:t>
      </w:r>
      <w:r w:rsidR="00736E1A">
        <w:rPr>
          <w:b/>
          <w:bCs/>
          <w:color w:val="0000FF"/>
          <w:sz w:val="22"/>
          <w:szCs w:val="22"/>
          <w:lang w:val="en-US"/>
        </w:rPr>
        <w:t xml:space="preserve">2018. </w:t>
      </w:r>
      <w:r w:rsidR="00DD12A5">
        <w:rPr>
          <w:b/>
          <w:bCs/>
          <w:color w:val="0000FF"/>
          <w:sz w:val="22"/>
          <w:szCs w:val="22"/>
          <w:lang w:val="en-US"/>
        </w:rPr>
        <w:t xml:space="preserve"> </w:t>
      </w:r>
      <w:bookmarkStart w:id="1" w:name="_GoBack"/>
      <w:bookmarkEnd w:id="1"/>
      <w:r w:rsidR="00736E1A">
        <w:rPr>
          <w:b/>
          <w:bCs/>
          <w:color w:val="0000FF"/>
          <w:sz w:val="22"/>
          <w:szCs w:val="22"/>
          <w:lang w:val="en-US"/>
        </w:rPr>
        <w:t xml:space="preserve">Decreases in net assets were observed </w:t>
      </w:r>
      <w:r w:rsidR="0078322A">
        <w:rPr>
          <w:b/>
          <w:bCs/>
          <w:color w:val="0000FF"/>
          <w:sz w:val="22"/>
          <w:szCs w:val="22"/>
          <w:lang w:val="en-US"/>
        </w:rPr>
        <w:t xml:space="preserve">in </w:t>
      </w:r>
      <w:r w:rsidR="001D5AED">
        <w:rPr>
          <w:b/>
          <w:bCs/>
          <w:color w:val="0000FF"/>
          <w:sz w:val="22"/>
          <w:szCs w:val="22"/>
          <w:lang w:val="en-US"/>
        </w:rPr>
        <w:t>17</w:t>
      </w:r>
      <w:r w:rsidR="00736E1A">
        <w:rPr>
          <w:b/>
          <w:bCs/>
          <w:color w:val="0000FF"/>
          <w:sz w:val="22"/>
          <w:szCs w:val="22"/>
          <w:lang w:val="en-US"/>
        </w:rPr>
        <w:t xml:space="preserve"> domiciles</w:t>
      </w:r>
      <w:r w:rsidR="001D5AED">
        <w:rPr>
          <w:b/>
          <w:bCs/>
          <w:color w:val="0000FF"/>
          <w:sz w:val="22"/>
          <w:szCs w:val="22"/>
          <w:lang w:val="en-US"/>
        </w:rPr>
        <w:t>, whereas 9 domiciles saw an increase in net assets</w:t>
      </w:r>
      <w:r w:rsidR="00736E1A">
        <w:rPr>
          <w:b/>
          <w:bCs/>
          <w:color w:val="0000FF"/>
          <w:sz w:val="22"/>
          <w:szCs w:val="22"/>
          <w:lang w:val="en-US"/>
        </w:rPr>
        <w:t>.</w:t>
      </w:r>
    </w:p>
    <w:p w:rsidR="007C30BC" w:rsidRDefault="007C30BC" w:rsidP="007C30BC">
      <w:pPr>
        <w:pStyle w:val="FootnoteText"/>
        <w:jc w:val="both"/>
        <w:rPr>
          <w:b/>
          <w:bCs/>
          <w:color w:val="0000FF"/>
          <w:sz w:val="22"/>
          <w:szCs w:val="22"/>
        </w:rPr>
      </w:pPr>
    </w:p>
    <w:p w:rsidR="007C30BC" w:rsidRPr="00BB2572" w:rsidRDefault="001D5AED" w:rsidP="004D795F">
      <w:pPr>
        <w:pStyle w:val="FootnoteText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Among</w:t>
      </w:r>
      <w:r w:rsidR="004D795F" w:rsidRPr="004D795F">
        <w:rPr>
          <w:bCs/>
          <w:color w:val="000000"/>
          <w:sz w:val="22"/>
          <w:szCs w:val="22"/>
        </w:rPr>
        <w:t xml:space="preserve"> the large</w:t>
      </w:r>
      <w:r>
        <w:rPr>
          <w:bCs/>
          <w:color w:val="000000"/>
          <w:sz w:val="22"/>
          <w:szCs w:val="22"/>
        </w:rPr>
        <w:t>r</w:t>
      </w:r>
      <w:r w:rsidR="004D795F" w:rsidRPr="004D795F">
        <w:rPr>
          <w:bCs/>
          <w:color w:val="000000"/>
          <w:sz w:val="22"/>
          <w:szCs w:val="22"/>
        </w:rPr>
        <w:t xml:space="preserve"> AIF domiciles, the largest net asset growth i</w:t>
      </w:r>
      <w:r w:rsidR="004D795F">
        <w:rPr>
          <w:bCs/>
          <w:color w:val="000000"/>
          <w:sz w:val="22"/>
          <w:szCs w:val="22"/>
        </w:rPr>
        <w:t>n Q1 2018</w:t>
      </w:r>
      <w:r w:rsidR="004D795F" w:rsidRPr="004D795F">
        <w:rPr>
          <w:bCs/>
          <w:color w:val="000000"/>
          <w:sz w:val="22"/>
          <w:szCs w:val="22"/>
        </w:rPr>
        <w:t xml:space="preserve"> was seen in </w:t>
      </w:r>
      <w:r w:rsidR="004D795F">
        <w:rPr>
          <w:bCs/>
          <w:color w:val="000000"/>
          <w:sz w:val="22"/>
          <w:szCs w:val="22"/>
        </w:rPr>
        <w:t>Ireland (4</w:t>
      </w:r>
      <w:r w:rsidR="004D795F" w:rsidRPr="004D795F">
        <w:rPr>
          <w:bCs/>
          <w:color w:val="000000"/>
          <w:sz w:val="22"/>
          <w:szCs w:val="22"/>
        </w:rPr>
        <w:t>.6%),</w:t>
      </w:r>
      <w:r w:rsidR="004D795F">
        <w:rPr>
          <w:bCs/>
          <w:color w:val="000000"/>
          <w:sz w:val="22"/>
          <w:szCs w:val="22"/>
        </w:rPr>
        <w:t xml:space="preserve"> </w:t>
      </w:r>
      <w:r w:rsidR="004D795F" w:rsidRPr="004D795F">
        <w:rPr>
          <w:bCs/>
          <w:color w:val="000000"/>
          <w:sz w:val="22"/>
          <w:szCs w:val="22"/>
        </w:rPr>
        <w:t xml:space="preserve">followed by </w:t>
      </w:r>
      <w:r w:rsidR="004D795F">
        <w:rPr>
          <w:bCs/>
          <w:color w:val="000000"/>
          <w:sz w:val="22"/>
          <w:szCs w:val="22"/>
        </w:rPr>
        <w:t>Luxembourg (0.4%). Net assets of AIF</w:t>
      </w:r>
      <w:r w:rsidR="00361684">
        <w:rPr>
          <w:bCs/>
          <w:color w:val="000000"/>
          <w:sz w:val="22"/>
          <w:szCs w:val="22"/>
        </w:rPr>
        <w:t>s</w:t>
      </w:r>
      <w:r w:rsidR="004D795F">
        <w:rPr>
          <w:bCs/>
          <w:color w:val="000000"/>
          <w:sz w:val="22"/>
          <w:szCs w:val="22"/>
        </w:rPr>
        <w:t xml:space="preserve"> domiciled in Netherlands decreased by </w:t>
      </w:r>
      <w:r>
        <w:rPr>
          <w:bCs/>
          <w:color w:val="000000"/>
          <w:sz w:val="22"/>
          <w:szCs w:val="22"/>
        </w:rPr>
        <w:t>2.4</w:t>
      </w:r>
      <w:r w:rsidR="004D795F">
        <w:rPr>
          <w:bCs/>
          <w:color w:val="000000"/>
          <w:sz w:val="22"/>
          <w:szCs w:val="22"/>
        </w:rPr>
        <w:t xml:space="preserve">%, followed by France and </w:t>
      </w:r>
      <w:r>
        <w:rPr>
          <w:bCs/>
          <w:color w:val="000000"/>
          <w:sz w:val="22"/>
          <w:szCs w:val="22"/>
        </w:rPr>
        <w:t>the United Kingdom</w:t>
      </w:r>
      <w:r w:rsidR="004D795F">
        <w:rPr>
          <w:bCs/>
          <w:color w:val="000000"/>
          <w:sz w:val="22"/>
          <w:szCs w:val="22"/>
        </w:rPr>
        <w:t xml:space="preserve"> (</w:t>
      </w:r>
      <w:r>
        <w:rPr>
          <w:bCs/>
          <w:color w:val="000000"/>
          <w:sz w:val="22"/>
          <w:szCs w:val="22"/>
        </w:rPr>
        <w:t>1.1</w:t>
      </w:r>
      <w:r w:rsidR="004D795F">
        <w:rPr>
          <w:bCs/>
          <w:color w:val="000000"/>
          <w:sz w:val="22"/>
          <w:szCs w:val="22"/>
        </w:rPr>
        <w:t xml:space="preserve">%). </w:t>
      </w:r>
      <w:r w:rsidR="004D795F" w:rsidRPr="004D795F">
        <w:rPr>
          <w:bCs/>
          <w:color w:val="000000"/>
          <w:sz w:val="22"/>
          <w:szCs w:val="22"/>
        </w:rPr>
        <w:t>Elsewhere in</w:t>
      </w:r>
      <w:r w:rsidR="004D795F">
        <w:rPr>
          <w:bCs/>
          <w:color w:val="000000"/>
          <w:sz w:val="22"/>
          <w:szCs w:val="22"/>
        </w:rPr>
        <w:t xml:space="preserve"> </w:t>
      </w:r>
      <w:r w:rsidR="004D795F" w:rsidRPr="004D795F">
        <w:rPr>
          <w:bCs/>
          <w:color w:val="000000"/>
          <w:sz w:val="22"/>
          <w:szCs w:val="22"/>
        </w:rPr>
        <w:t>Europe, net asse</w:t>
      </w:r>
      <w:r w:rsidR="004D795F">
        <w:rPr>
          <w:bCs/>
          <w:color w:val="000000"/>
          <w:sz w:val="22"/>
          <w:szCs w:val="22"/>
        </w:rPr>
        <w:t xml:space="preserve">ts grew strongly in Cyprus (33.2%), </w:t>
      </w:r>
      <w:r w:rsidR="00A12292" w:rsidRPr="00A12292">
        <w:rPr>
          <w:bCs/>
          <w:color w:val="000000"/>
          <w:sz w:val="22"/>
          <w:szCs w:val="22"/>
        </w:rPr>
        <w:t xml:space="preserve">Czech Republic </w:t>
      </w:r>
      <w:r w:rsidR="008F2FA7" w:rsidRPr="008F2FA7">
        <w:rPr>
          <w:bCs/>
          <w:color w:val="000000"/>
          <w:sz w:val="22"/>
          <w:szCs w:val="22"/>
        </w:rPr>
        <w:t>(</w:t>
      </w:r>
      <w:r w:rsidR="00A12292">
        <w:rPr>
          <w:bCs/>
          <w:color w:val="000000"/>
          <w:sz w:val="22"/>
          <w:szCs w:val="22"/>
        </w:rPr>
        <w:t>5.8</w:t>
      </w:r>
      <w:r w:rsidR="008F2FA7" w:rsidRPr="008F2FA7">
        <w:rPr>
          <w:bCs/>
          <w:color w:val="000000"/>
          <w:sz w:val="22"/>
          <w:szCs w:val="22"/>
        </w:rPr>
        <w:t>%)</w:t>
      </w:r>
      <w:r w:rsidR="00C33653">
        <w:rPr>
          <w:bCs/>
          <w:color w:val="000000"/>
          <w:sz w:val="22"/>
          <w:szCs w:val="22"/>
        </w:rPr>
        <w:t xml:space="preserve">, </w:t>
      </w:r>
      <w:r w:rsidR="00A12292">
        <w:rPr>
          <w:bCs/>
          <w:color w:val="000000"/>
          <w:sz w:val="22"/>
          <w:szCs w:val="22"/>
        </w:rPr>
        <w:t xml:space="preserve">Poland </w:t>
      </w:r>
      <w:r w:rsidR="0026277B">
        <w:rPr>
          <w:bCs/>
          <w:color w:val="000000"/>
          <w:sz w:val="22"/>
          <w:szCs w:val="22"/>
        </w:rPr>
        <w:t>(</w:t>
      </w:r>
      <w:r w:rsidR="00A12292">
        <w:rPr>
          <w:bCs/>
          <w:color w:val="000000"/>
          <w:sz w:val="22"/>
          <w:szCs w:val="22"/>
        </w:rPr>
        <w:t>3.2</w:t>
      </w:r>
      <w:r w:rsidR="0026277B">
        <w:rPr>
          <w:bCs/>
          <w:color w:val="000000"/>
          <w:sz w:val="22"/>
          <w:szCs w:val="22"/>
        </w:rPr>
        <w:t>%)</w:t>
      </w:r>
      <w:r w:rsidR="00C33653">
        <w:rPr>
          <w:bCs/>
          <w:color w:val="000000"/>
          <w:sz w:val="22"/>
          <w:szCs w:val="22"/>
        </w:rPr>
        <w:t xml:space="preserve"> and Greece (2.7%)</w:t>
      </w:r>
      <w:r>
        <w:rPr>
          <w:bCs/>
          <w:color w:val="000000"/>
          <w:sz w:val="22"/>
          <w:szCs w:val="22"/>
        </w:rPr>
        <w:t>.</w:t>
      </w:r>
    </w:p>
    <w:p w:rsidR="007C30BC" w:rsidRPr="001B65E9" w:rsidRDefault="007C30BC" w:rsidP="007C30BC">
      <w:pPr>
        <w:pStyle w:val="Footer"/>
        <w:jc w:val="cen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C30BC" w:rsidRPr="001B65E9" w:rsidRDefault="00E014CD" w:rsidP="00104F7D">
      <w:pPr>
        <w:pStyle w:val="Footer"/>
        <w:jc w:val="cen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014CD">
        <w:rPr>
          <w:noProof/>
          <w:lang w:val="nl-BE" w:eastAsia="nl-BE"/>
        </w:rPr>
        <w:drawing>
          <wp:anchor distT="0" distB="0" distL="114300" distR="114300" simplePos="0" relativeHeight="251761664" behindDoc="0" locked="0" layoutInCell="1" allowOverlap="1" wp14:anchorId="36C7BA11" wp14:editId="2739E4FC">
            <wp:simplePos x="0" y="0"/>
            <wp:positionH relativeFrom="margin">
              <wp:align>center</wp:align>
            </wp:positionH>
            <wp:positionV relativeFrom="line">
              <wp:posOffset>66040</wp:posOffset>
            </wp:positionV>
            <wp:extent cx="4581525" cy="6038850"/>
            <wp:effectExtent l="0" t="0" r="952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603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30BC" w:rsidRPr="001B65E9" w:rsidRDefault="007C30BC" w:rsidP="00104F7D">
      <w:pPr>
        <w:pStyle w:val="Footer"/>
        <w:jc w:val="cen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61CDE" w:rsidRPr="001B65E9" w:rsidRDefault="00261CDE" w:rsidP="00104F7D">
      <w:pPr>
        <w:pStyle w:val="Footer"/>
        <w:jc w:val="cen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56687" w:rsidRPr="001B65E9" w:rsidRDefault="00D56687" w:rsidP="00104F7D">
      <w:pPr>
        <w:pStyle w:val="Footer"/>
        <w:jc w:val="cen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C52D0" w:rsidRPr="001B65E9" w:rsidRDefault="00A6458D" w:rsidP="003C52D0">
      <w:pPr>
        <w:pStyle w:val="Footer"/>
        <w:jc w:val="cen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B65E9"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  <w:r w:rsidR="003C52D0" w:rsidRPr="001B65E9"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Trends in the </w:t>
      </w:r>
      <w:r w:rsidR="00757DE9" w:rsidRPr="001B65E9"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European I</w:t>
      </w:r>
      <w:r w:rsidR="003C52D0" w:rsidRPr="001B65E9"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nvestment Fund Industry</w:t>
      </w:r>
    </w:p>
    <w:p w:rsidR="003C52D0" w:rsidRPr="001B65E9" w:rsidRDefault="003C52D0" w:rsidP="003C52D0">
      <w:pPr>
        <w:pStyle w:val="Footer"/>
        <w:jc w:val="center"/>
        <w:outlineLvl w:val="0"/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B65E9"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Net Sales by Investment Type</w:t>
      </w:r>
    </w:p>
    <w:p w:rsidR="003C52D0" w:rsidRDefault="003C52D0" w:rsidP="003C52D0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sz w:val="22"/>
          <w:szCs w:val="22"/>
          <w:lang w:val="en-US"/>
        </w:rPr>
      </w:pPr>
    </w:p>
    <w:p w:rsidR="003C52D0" w:rsidRDefault="009331D3" w:rsidP="003C52D0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b/>
          <w:bCs/>
          <w:color w:val="0000FF"/>
          <w:sz w:val="22"/>
          <w:szCs w:val="22"/>
          <w:lang w:val="en-US"/>
        </w:rPr>
      </w:pPr>
      <w:r w:rsidRPr="00654E5B">
        <w:rPr>
          <w:b/>
          <w:color w:val="0000FF"/>
          <w:sz w:val="22"/>
          <w:szCs w:val="22"/>
        </w:rPr>
        <w:t xml:space="preserve">The combined </w:t>
      </w:r>
      <w:r>
        <w:rPr>
          <w:b/>
          <w:color w:val="0000FF"/>
          <w:sz w:val="22"/>
          <w:szCs w:val="22"/>
        </w:rPr>
        <w:t>net sales</w:t>
      </w:r>
      <w:r w:rsidRPr="00654E5B">
        <w:rPr>
          <w:b/>
          <w:color w:val="0000FF"/>
          <w:sz w:val="22"/>
          <w:szCs w:val="22"/>
        </w:rPr>
        <w:t xml:space="preserve"> of </w:t>
      </w:r>
      <w:r>
        <w:rPr>
          <w:b/>
          <w:color w:val="0000FF"/>
          <w:sz w:val="22"/>
          <w:szCs w:val="22"/>
        </w:rPr>
        <w:t>UCITS and AIF</w:t>
      </w:r>
      <w:r w:rsidR="0078322A">
        <w:rPr>
          <w:b/>
          <w:color w:val="0000FF"/>
          <w:sz w:val="22"/>
          <w:szCs w:val="22"/>
        </w:rPr>
        <w:t>s</w:t>
      </w:r>
      <w:r w:rsidR="00F67028">
        <w:rPr>
          <w:b/>
          <w:color w:val="0000FF"/>
          <w:sz w:val="22"/>
          <w:szCs w:val="22"/>
        </w:rPr>
        <w:t xml:space="preserve"> </w:t>
      </w:r>
      <w:r w:rsidR="00F67028">
        <w:rPr>
          <w:b/>
          <w:bCs/>
          <w:color w:val="0000FF"/>
          <w:sz w:val="22"/>
          <w:szCs w:val="22"/>
          <w:lang w:val="en-US"/>
        </w:rPr>
        <w:t>recorded</w:t>
      </w:r>
      <w:r w:rsidR="003C52D0">
        <w:rPr>
          <w:b/>
          <w:bCs/>
          <w:color w:val="0000FF"/>
          <w:sz w:val="22"/>
          <w:szCs w:val="22"/>
          <w:lang w:val="en-US"/>
        </w:rPr>
        <w:t xml:space="preserve"> net inflows of EUR </w:t>
      </w:r>
      <w:r w:rsidR="00976E18">
        <w:rPr>
          <w:b/>
          <w:bCs/>
          <w:color w:val="0000FF"/>
          <w:sz w:val="22"/>
          <w:szCs w:val="22"/>
          <w:lang w:val="en-US"/>
        </w:rPr>
        <w:t>22</w:t>
      </w:r>
      <w:r w:rsidR="005E4E8A">
        <w:rPr>
          <w:b/>
          <w:bCs/>
          <w:color w:val="0000FF"/>
          <w:sz w:val="22"/>
          <w:szCs w:val="22"/>
          <w:lang w:val="en-US"/>
        </w:rPr>
        <w:t xml:space="preserve">2 </w:t>
      </w:r>
      <w:r w:rsidR="003C52D0">
        <w:rPr>
          <w:b/>
          <w:bCs/>
          <w:color w:val="0000FF"/>
          <w:sz w:val="22"/>
          <w:szCs w:val="22"/>
          <w:lang w:val="en-US"/>
        </w:rPr>
        <w:t xml:space="preserve">billion </w:t>
      </w:r>
      <w:r w:rsidR="0096009E">
        <w:rPr>
          <w:b/>
          <w:bCs/>
          <w:color w:val="0000FF"/>
          <w:sz w:val="22"/>
          <w:szCs w:val="22"/>
          <w:lang w:val="en-US"/>
        </w:rPr>
        <w:t xml:space="preserve">in </w:t>
      </w:r>
      <w:r w:rsidR="00976E18">
        <w:rPr>
          <w:b/>
          <w:bCs/>
          <w:color w:val="0000FF"/>
          <w:sz w:val="22"/>
          <w:szCs w:val="22"/>
          <w:lang w:val="en-US"/>
        </w:rPr>
        <w:t>Q1 2018</w:t>
      </w:r>
      <w:r w:rsidR="003C0DD0">
        <w:rPr>
          <w:b/>
          <w:bCs/>
          <w:color w:val="0000FF"/>
          <w:sz w:val="22"/>
          <w:szCs w:val="22"/>
          <w:lang w:val="en-US"/>
        </w:rPr>
        <w:t xml:space="preserve">, compared to EUR </w:t>
      </w:r>
      <w:r w:rsidR="00976E18">
        <w:rPr>
          <w:b/>
          <w:bCs/>
          <w:color w:val="0000FF"/>
          <w:sz w:val="22"/>
          <w:szCs w:val="22"/>
          <w:lang w:val="en-US"/>
        </w:rPr>
        <w:t>189</w:t>
      </w:r>
      <w:r w:rsidR="005E4E8A">
        <w:rPr>
          <w:b/>
          <w:bCs/>
          <w:color w:val="0000FF"/>
          <w:sz w:val="22"/>
          <w:szCs w:val="22"/>
          <w:lang w:val="en-US"/>
        </w:rPr>
        <w:t xml:space="preserve"> </w:t>
      </w:r>
      <w:r w:rsidR="003C52D0">
        <w:rPr>
          <w:b/>
          <w:bCs/>
          <w:color w:val="0000FF"/>
          <w:sz w:val="22"/>
          <w:szCs w:val="22"/>
          <w:lang w:val="en-US"/>
        </w:rPr>
        <w:t>billion i</w:t>
      </w:r>
      <w:r w:rsidR="003C0DD0">
        <w:rPr>
          <w:b/>
          <w:bCs/>
          <w:color w:val="0000FF"/>
          <w:sz w:val="22"/>
          <w:szCs w:val="22"/>
          <w:lang w:val="en-US"/>
        </w:rPr>
        <w:t xml:space="preserve">n </w:t>
      </w:r>
      <w:r w:rsidR="00976E18">
        <w:rPr>
          <w:b/>
          <w:bCs/>
          <w:color w:val="0000FF"/>
          <w:sz w:val="22"/>
          <w:szCs w:val="22"/>
          <w:lang w:val="en-US"/>
        </w:rPr>
        <w:t>the last quarter of 2017</w:t>
      </w:r>
      <w:r w:rsidR="003C52D0">
        <w:rPr>
          <w:b/>
          <w:bCs/>
          <w:color w:val="0000FF"/>
          <w:sz w:val="22"/>
          <w:szCs w:val="22"/>
          <w:lang w:val="en-US"/>
        </w:rPr>
        <w:t>.</w:t>
      </w:r>
    </w:p>
    <w:p w:rsidR="003C52D0" w:rsidRDefault="003C52D0" w:rsidP="003C52D0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b/>
          <w:bCs/>
          <w:color w:val="0000FF"/>
          <w:sz w:val="22"/>
          <w:szCs w:val="22"/>
        </w:rPr>
      </w:pPr>
      <w:r>
        <w:rPr>
          <w:b/>
          <w:bCs/>
          <w:color w:val="0000FF"/>
          <w:sz w:val="22"/>
          <w:szCs w:val="22"/>
        </w:rPr>
        <w:t xml:space="preserve"> </w:t>
      </w:r>
    </w:p>
    <w:p w:rsidR="00C0196C" w:rsidRDefault="006E162F" w:rsidP="00C0196C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E</w:t>
      </w:r>
      <w:r w:rsidR="003C52D0" w:rsidRPr="00A7353F">
        <w:rPr>
          <w:bCs/>
          <w:color w:val="000000"/>
          <w:sz w:val="22"/>
          <w:szCs w:val="22"/>
        </w:rPr>
        <w:t xml:space="preserve">quity funds </w:t>
      </w:r>
      <w:r w:rsidR="00617CF4">
        <w:rPr>
          <w:bCs/>
          <w:color w:val="000000"/>
          <w:sz w:val="22"/>
          <w:szCs w:val="22"/>
        </w:rPr>
        <w:t>saw a</w:t>
      </w:r>
      <w:r w:rsidR="005E4E8A">
        <w:rPr>
          <w:bCs/>
          <w:color w:val="000000"/>
          <w:sz w:val="22"/>
          <w:szCs w:val="22"/>
        </w:rPr>
        <w:t>n increase</w:t>
      </w:r>
      <w:r w:rsidR="00B23E86">
        <w:rPr>
          <w:bCs/>
          <w:color w:val="000000"/>
          <w:sz w:val="22"/>
          <w:szCs w:val="22"/>
        </w:rPr>
        <w:t xml:space="preserve"> </w:t>
      </w:r>
      <w:r w:rsidR="000578E5">
        <w:rPr>
          <w:bCs/>
          <w:color w:val="000000"/>
          <w:sz w:val="22"/>
          <w:szCs w:val="22"/>
        </w:rPr>
        <w:t xml:space="preserve">in </w:t>
      </w:r>
      <w:r w:rsidR="00C11CAC">
        <w:rPr>
          <w:bCs/>
          <w:color w:val="000000"/>
          <w:sz w:val="22"/>
          <w:szCs w:val="22"/>
        </w:rPr>
        <w:t xml:space="preserve">net </w:t>
      </w:r>
      <w:r w:rsidR="00B23E86">
        <w:rPr>
          <w:bCs/>
          <w:color w:val="000000"/>
          <w:sz w:val="22"/>
          <w:szCs w:val="22"/>
        </w:rPr>
        <w:t>in</w:t>
      </w:r>
      <w:r w:rsidR="00617CF4">
        <w:rPr>
          <w:bCs/>
          <w:color w:val="000000"/>
          <w:sz w:val="22"/>
          <w:szCs w:val="22"/>
        </w:rPr>
        <w:t xml:space="preserve">flows, </w:t>
      </w:r>
      <w:r w:rsidR="00EA5E19">
        <w:rPr>
          <w:bCs/>
          <w:color w:val="000000"/>
          <w:sz w:val="22"/>
          <w:szCs w:val="22"/>
        </w:rPr>
        <w:t xml:space="preserve">from EUR 69 billion in Q4 2017 to </w:t>
      </w:r>
      <w:r w:rsidR="00617CF4">
        <w:rPr>
          <w:bCs/>
          <w:color w:val="000000"/>
          <w:sz w:val="22"/>
          <w:szCs w:val="22"/>
        </w:rPr>
        <w:t xml:space="preserve">EUR </w:t>
      </w:r>
      <w:r w:rsidR="00B23E86">
        <w:rPr>
          <w:bCs/>
          <w:color w:val="000000"/>
          <w:sz w:val="22"/>
          <w:szCs w:val="22"/>
        </w:rPr>
        <w:t>84</w:t>
      </w:r>
      <w:r w:rsidR="005E4E8A">
        <w:rPr>
          <w:bCs/>
          <w:color w:val="000000"/>
          <w:sz w:val="22"/>
          <w:szCs w:val="22"/>
        </w:rPr>
        <w:t xml:space="preserve"> </w:t>
      </w:r>
      <w:r w:rsidR="00617CF4">
        <w:rPr>
          <w:bCs/>
          <w:color w:val="000000"/>
          <w:sz w:val="22"/>
          <w:szCs w:val="22"/>
        </w:rPr>
        <w:t xml:space="preserve">billion in </w:t>
      </w:r>
      <w:r w:rsidR="00B23E86">
        <w:rPr>
          <w:bCs/>
          <w:color w:val="000000"/>
          <w:sz w:val="22"/>
          <w:szCs w:val="22"/>
        </w:rPr>
        <w:t>Q1 2018</w:t>
      </w:r>
      <w:r w:rsidR="0078322A">
        <w:rPr>
          <w:bCs/>
          <w:color w:val="000000"/>
          <w:sz w:val="22"/>
          <w:szCs w:val="22"/>
        </w:rPr>
        <w:t>.</w:t>
      </w:r>
      <w:r w:rsidR="005E4E8A">
        <w:rPr>
          <w:bCs/>
          <w:color w:val="000000"/>
          <w:sz w:val="22"/>
          <w:szCs w:val="22"/>
        </w:rPr>
        <w:t xml:space="preserve"> </w:t>
      </w:r>
      <w:r w:rsidR="004F702B">
        <w:rPr>
          <w:bCs/>
          <w:color w:val="000000"/>
          <w:sz w:val="22"/>
          <w:szCs w:val="22"/>
        </w:rPr>
        <w:t>N</w:t>
      </w:r>
      <w:r w:rsidR="00617CF4">
        <w:rPr>
          <w:bCs/>
          <w:color w:val="000000"/>
          <w:sz w:val="22"/>
          <w:szCs w:val="22"/>
        </w:rPr>
        <w:t>e</w:t>
      </w:r>
      <w:r w:rsidR="003C52D0" w:rsidRPr="00A7353F">
        <w:rPr>
          <w:bCs/>
          <w:color w:val="000000"/>
          <w:sz w:val="22"/>
          <w:szCs w:val="22"/>
        </w:rPr>
        <w:t xml:space="preserve">t sales of bond funds </w:t>
      </w:r>
      <w:r w:rsidR="00B23E86">
        <w:rPr>
          <w:bCs/>
          <w:color w:val="000000"/>
          <w:sz w:val="22"/>
          <w:szCs w:val="22"/>
        </w:rPr>
        <w:t>decreas</w:t>
      </w:r>
      <w:r w:rsidR="005E4E8A">
        <w:rPr>
          <w:bCs/>
          <w:color w:val="000000"/>
          <w:sz w:val="22"/>
          <w:szCs w:val="22"/>
        </w:rPr>
        <w:t xml:space="preserve">ed </w:t>
      </w:r>
      <w:r>
        <w:rPr>
          <w:bCs/>
          <w:color w:val="000000"/>
          <w:sz w:val="22"/>
          <w:szCs w:val="22"/>
        </w:rPr>
        <w:t xml:space="preserve">from EUR </w:t>
      </w:r>
      <w:r w:rsidR="00B23E86">
        <w:rPr>
          <w:bCs/>
          <w:color w:val="000000"/>
          <w:sz w:val="22"/>
          <w:szCs w:val="22"/>
        </w:rPr>
        <w:t>39</w:t>
      </w:r>
      <w:r w:rsidR="005E4E8A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b</w:t>
      </w:r>
      <w:r w:rsidR="001B2438">
        <w:rPr>
          <w:bCs/>
          <w:color w:val="000000"/>
          <w:sz w:val="22"/>
          <w:szCs w:val="22"/>
        </w:rPr>
        <w:t>illion</w:t>
      </w:r>
      <w:r>
        <w:rPr>
          <w:bCs/>
          <w:color w:val="000000"/>
          <w:sz w:val="22"/>
          <w:szCs w:val="22"/>
        </w:rPr>
        <w:t xml:space="preserve"> to EUR </w:t>
      </w:r>
      <w:r w:rsidR="00B23E86">
        <w:rPr>
          <w:bCs/>
          <w:color w:val="000000"/>
          <w:sz w:val="22"/>
          <w:szCs w:val="22"/>
        </w:rPr>
        <w:t>2</w:t>
      </w:r>
      <w:r w:rsidR="00FE7CCB">
        <w:rPr>
          <w:bCs/>
          <w:color w:val="000000"/>
          <w:sz w:val="22"/>
          <w:szCs w:val="22"/>
        </w:rPr>
        <w:t>3</w:t>
      </w:r>
      <w:r w:rsidR="005E4E8A">
        <w:rPr>
          <w:bCs/>
          <w:color w:val="000000"/>
          <w:sz w:val="22"/>
          <w:szCs w:val="22"/>
        </w:rPr>
        <w:t xml:space="preserve"> </w:t>
      </w:r>
      <w:r w:rsidR="001B2438">
        <w:rPr>
          <w:bCs/>
          <w:color w:val="000000"/>
          <w:sz w:val="22"/>
          <w:szCs w:val="22"/>
        </w:rPr>
        <w:t>billion</w:t>
      </w:r>
      <w:r w:rsidR="00617CF4">
        <w:rPr>
          <w:bCs/>
          <w:color w:val="000000"/>
          <w:sz w:val="22"/>
          <w:szCs w:val="22"/>
        </w:rPr>
        <w:t xml:space="preserve">. Net sales of multi-asset funds totalled EUR </w:t>
      </w:r>
      <w:r w:rsidR="00B008C9">
        <w:rPr>
          <w:bCs/>
          <w:color w:val="000000"/>
          <w:sz w:val="22"/>
          <w:szCs w:val="22"/>
        </w:rPr>
        <w:t>71</w:t>
      </w:r>
      <w:r w:rsidR="005E4E8A">
        <w:rPr>
          <w:bCs/>
          <w:color w:val="000000"/>
          <w:sz w:val="22"/>
          <w:szCs w:val="22"/>
        </w:rPr>
        <w:t xml:space="preserve"> </w:t>
      </w:r>
      <w:r w:rsidR="00617CF4">
        <w:rPr>
          <w:bCs/>
          <w:color w:val="000000"/>
          <w:sz w:val="22"/>
          <w:szCs w:val="22"/>
        </w:rPr>
        <w:t>billion</w:t>
      </w:r>
      <w:r>
        <w:rPr>
          <w:bCs/>
          <w:color w:val="000000"/>
          <w:sz w:val="22"/>
          <w:szCs w:val="22"/>
        </w:rPr>
        <w:t xml:space="preserve"> in </w:t>
      </w:r>
      <w:r w:rsidR="00B23E86">
        <w:rPr>
          <w:bCs/>
          <w:color w:val="000000"/>
          <w:sz w:val="22"/>
          <w:szCs w:val="22"/>
        </w:rPr>
        <w:t>Q1 2018</w:t>
      </w:r>
      <w:r>
        <w:rPr>
          <w:bCs/>
          <w:color w:val="000000"/>
          <w:sz w:val="22"/>
          <w:szCs w:val="22"/>
        </w:rPr>
        <w:t xml:space="preserve">, </w:t>
      </w:r>
      <w:r w:rsidR="005E4E8A">
        <w:rPr>
          <w:bCs/>
          <w:color w:val="000000"/>
          <w:sz w:val="22"/>
          <w:szCs w:val="22"/>
        </w:rPr>
        <w:t xml:space="preserve">up </w:t>
      </w:r>
      <w:r>
        <w:rPr>
          <w:bCs/>
          <w:color w:val="000000"/>
          <w:sz w:val="22"/>
          <w:szCs w:val="22"/>
        </w:rPr>
        <w:t xml:space="preserve">from EUR </w:t>
      </w:r>
      <w:r w:rsidR="00B23E86">
        <w:rPr>
          <w:bCs/>
          <w:color w:val="000000"/>
          <w:sz w:val="22"/>
          <w:szCs w:val="22"/>
        </w:rPr>
        <w:t xml:space="preserve">64 </w:t>
      </w:r>
      <w:r>
        <w:rPr>
          <w:bCs/>
          <w:color w:val="000000"/>
          <w:sz w:val="22"/>
          <w:szCs w:val="22"/>
        </w:rPr>
        <w:t>b</w:t>
      </w:r>
      <w:r w:rsidR="001B2438">
        <w:rPr>
          <w:bCs/>
          <w:color w:val="000000"/>
          <w:sz w:val="22"/>
          <w:szCs w:val="22"/>
        </w:rPr>
        <w:t>illio</w:t>
      </w:r>
      <w:r>
        <w:rPr>
          <w:bCs/>
          <w:color w:val="000000"/>
          <w:sz w:val="22"/>
          <w:szCs w:val="22"/>
        </w:rPr>
        <w:t>n in the previous quarter</w:t>
      </w:r>
      <w:r w:rsidR="00617CF4">
        <w:rPr>
          <w:bCs/>
          <w:color w:val="000000"/>
          <w:sz w:val="22"/>
          <w:szCs w:val="22"/>
        </w:rPr>
        <w:t xml:space="preserve">. Net sales of money market funds </w:t>
      </w:r>
      <w:r w:rsidR="00B23E86" w:rsidRPr="00B23E86">
        <w:rPr>
          <w:bCs/>
          <w:color w:val="000000"/>
          <w:sz w:val="22"/>
          <w:szCs w:val="22"/>
        </w:rPr>
        <w:t>e</w:t>
      </w:r>
      <w:r w:rsidR="00B23E86">
        <w:rPr>
          <w:bCs/>
          <w:color w:val="000000"/>
          <w:sz w:val="22"/>
          <w:szCs w:val="22"/>
        </w:rPr>
        <w:t xml:space="preserve">xperienced net outflows of EUR 4 billion, </w:t>
      </w:r>
      <w:r w:rsidR="008E69CF">
        <w:rPr>
          <w:bCs/>
          <w:color w:val="000000"/>
          <w:sz w:val="22"/>
          <w:szCs w:val="22"/>
        </w:rPr>
        <w:t>compared</w:t>
      </w:r>
      <w:r w:rsidR="00B23E86">
        <w:rPr>
          <w:bCs/>
          <w:color w:val="000000"/>
          <w:sz w:val="22"/>
          <w:szCs w:val="22"/>
        </w:rPr>
        <w:t xml:space="preserve"> to net outflows of EUR 3</w:t>
      </w:r>
      <w:r w:rsidR="00B23E86" w:rsidRPr="00B23E86">
        <w:rPr>
          <w:bCs/>
          <w:color w:val="000000"/>
          <w:sz w:val="22"/>
          <w:szCs w:val="22"/>
        </w:rPr>
        <w:t xml:space="preserve"> billion in</w:t>
      </w:r>
      <w:r w:rsidR="00B23E86">
        <w:rPr>
          <w:bCs/>
          <w:color w:val="000000"/>
          <w:sz w:val="22"/>
          <w:szCs w:val="22"/>
        </w:rPr>
        <w:t xml:space="preserve"> the last</w:t>
      </w:r>
      <w:r w:rsidR="00B23E86" w:rsidRPr="00B23E86">
        <w:rPr>
          <w:bCs/>
          <w:color w:val="000000"/>
          <w:sz w:val="22"/>
          <w:szCs w:val="22"/>
        </w:rPr>
        <w:t xml:space="preserve"> quarter of 2</w:t>
      </w:r>
      <w:r w:rsidR="00B23E86">
        <w:rPr>
          <w:bCs/>
          <w:color w:val="000000"/>
          <w:sz w:val="22"/>
          <w:szCs w:val="22"/>
        </w:rPr>
        <w:t>01</w:t>
      </w:r>
      <w:r w:rsidR="00B008C9">
        <w:rPr>
          <w:bCs/>
          <w:color w:val="000000"/>
          <w:sz w:val="22"/>
          <w:szCs w:val="22"/>
        </w:rPr>
        <w:t>7</w:t>
      </w:r>
      <w:r w:rsidR="00B23E86" w:rsidRPr="00B23E86">
        <w:rPr>
          <w:bCs/>
          <w:color w:val="000000"/>
          <w:sz w:val="22"/>
          <w:szCs w:val="22"/>
        </w:rPr>
        <w:t>.</w:t>
      </w:r>
      <w:r w:rsidR="00B23E86">
        <w:rPr>
          <w:bCs/>
          <w:color w:val="000000"/>
          <w:sz w:val="22"/>
          <w:szCs w:val="22"/>
        </w:rPr>
        <w:t xml:space="preserve"> </w:t>
      </w:r>
      <w:r w:rsidR="00617CF4">
        <w:rPr>
          <w:bCs/>
          <w:color w:val="000000"/>
          <w:sz w:val="22"/>
          <w:szCs w:val="22"/>
        </w:rPr>
        <w:t>Net sales of other funds (in</w:t>
      </w:r>
      <w:r w:rsidR="00F67028">
        <w:rPr>
          <w:bCs/>
          <w:color w:val="000000"/>
          <w:sz w:val="22"/>
          <w:szCs w:val="22"/>
        </w:rPr>
        <w:t>cluding real estate</w:t>
      </w:r>
      <w:r w:rsidR="004F702B">
        <w:rPr>
          <w:bCs/>
          <w:color w:val="000000"/>
          <w:sz w:val="22"/>
          <w:szCs w:val="22"/>
        </w:rPr>
        <w:t xml:space="preserve"> </w:t>
      </w:r>
      <w:r w:rsidR="00617CF4">
        <w:rPr>
          <w:bCs/>
          <w:color w:val="000000"/>
          <w:sz w:val="22"/>
          <w:szCs w:val="22"/>
        </w:rPr>
        <w:t xml:space="preserve">and other funds which do not fit any of the </w:t>
      </w:r>
      <w:r w:rsidR="00C11CAC">
        <w:rPr>
          <w:bCs/>
          <w:color w:val="000000"/>
          <w:sz w:val="22"/>
          <w:szCs w:val="22"/>
        </w:rPr>
        <w:t xml:space="preserve">other </w:t>
      </w:r>
      <w:r w:rsidR="00EB1D68">
        <w:rPr>
          <w:bCs/>
          <w:color w:val="000000"/>
          <w:sz w:val="22"/>
          <w:szCs w:val="22"/>
        </w:rPr>
        <w:t xml:space="preserve">categories </w:t>
      </w:r>
      <w:r w:rsidR="00617CF4">
        <w:rPr>
          <w:bCs/>
          <w:color w:val="000000"/>
          <w:sz w:val="22"/>
          <w:szCs w:val="22"/>
        </w:rPr>
        <w:t xml:space="preserve">for which information is not available) totalled EUR </w:t>
      </w:r>
      <w:r w:rsidR="00B008C9">
        <w:rPr>
          <w:bCs/>
          <w:color w:val="000000"/>
          <w:sz w:val="22"/>
          <w:szCs w:val="22"/>
        </w:rPr>
        <w:t>48</w:t>
      </w:r>
      <w:r w:rsidR="005424F7">
        <w:rPr>
          <w:bCs/>
          <w:color w:val="000000"/>
          <w:sz w:val="22"/>
          <w:szCs w:val="22"/>
        </w:rPr>
        <w:t xml:space="preserve"> </w:t>
      </w:r>
      <w:r w:rsidR="00617CF4">
        <w:rPr>
          <w:bCs/>
          <w:color w:val="000000"/>
          <w:sz w:val="22"/>
          <w:szCs w:val="22"/>
        </w:rPr>
        <w:t xml:space="preserve">billion, </w:t>
      </w:r>
      <w:r w:rsidR="005424F7">
        <w:rPr>
          <w:bCs/>
          <w:color w:val="000000"/>
          <w:sz w:val="22"/>
          <w:szCs w:val="22"/>
        </w:rPr>
        <w:t>up from</w:t>
      </w:r>
      <w:r w:rsidR="00617CF4">
        <w:rPr>
          <w:bCs/>
          <w:color w:val="000000"/>
          <w:sz w:val="22"/>
          <w:szCs w:val="22"/>
        </w:rPr>
        <w:t xml:space="preserve"> EUR </w:t>
      </w:r>
      <w:r w:rsidR="00572E08">
        <w:rPr>
          <w:bCs/>
          <w:color w:val="000000"/>
          <w:sz w:val="22"/>
          <w:szCs w:val="22"/>
        </w:rPr>
        <w:t>21</w:t>
      </w:r>
      <w:r w:rsidR="005424F7">
        <w:rPr>
          <w:bCs/>
          <w:color w:val="000000"/>
          <w:sz w:val="22"/>
          <w:szCs w:val="22"/>
        </w:rPr>
        <w:t xml:space="preserve"> </w:t>
      </w:r>
      <w:r w:rsidR="00617CF4">
        <w:rPr>
          <w:bCs/>
          <w:color w:val="000000"/>
          <w:sz w:val="22"/>
          <w:szCs w:val="22"/>
        </w:rPr>
        <w:t>billion</w:t>
      </w:r>
      <w:r w:rsidR="0078322A">
        <w:rPr>
          <w:bCs/>
          <w:color w:val="000000"/>
          <w:sz w:val="22"/>
          <w:szCs w:val="22"/>
        </w:rPr>
        <w:t xml:space="preserve"> in the</w:t>
      </w:r>
      <w:r w:rsidR="00617CF4">
        <w:rPr>
          <w:bCs/>
          <w:color w:val="000000"/>
          <w:sz w:val="22"/>
          <w:szCs w:val="22"/>
        </w:rPr>
        <w:t xml:space="preserve"> last quarter</w:t>
      </w:r>
      <w:r w:rsidR="0078322A">
        <w:rPr>
          <w:bCs/>
          <w:color w:val="000000"/>
          <w:sz w:val="22"/>
          <w:szCs w:val="22"/>
        </w:rPr>
        <w:t xml:space="preserve"> of 2017</w:t>
      </w:r>
      <w:r w:rsidR="00617CF4">
        <w:rPr>
          <w:bCs/>
          <w:color w:val="000000"/>
          <w:sz w:val="22"/>
          <w:szCs w:val="22"/>
        </w:rPr>
        <w:t>.</w:t>
      </w:r>
    </w:p>
    <w:p w:rsidR="00C0196C" w:rsidRPr="00C0196C" w:rsidRDefault="00C0196C" w:rsidP="00C0196C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bCs/>
          <w:color w:val="000000"/>
          <w:sz w:val="22"/>
          <w:szCs w:val="22"/>
        </w:rPr>
      </w:pPr>
    </w:p>
    <w:p w:rsidR="00BE2045" w:rsidRPr="001B65E9" w:rsidRDefault="00933997" w:rsidP="00C0196C">
      <w:pPr>
        <w:pStyle w:val="Footer"/>
        <w:jc w:val="center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iCs/>
          <w:noProof/>
          <w:sz w:val="28"/>
          <w:szCs w:val="28"/>
          <w:lang w:val="nl-BE" w:eastAsia="nl-B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755520" behindDoc="0" locked="0" layoutInCell="1" allowOverlap="1">
            <wp:simplePos x="0" y="0"/>
            <wp:positionH relativeFrom="margin">
              <wp:posOffset>3042920</wp:posOffset>
            </wp:positionH>
            <wp:positionV relativeFrom="paragraph">
              <wp:posOffset>4622165</wp:posOffset>
            </wp:positionV>
            <wp:extent cx="3430800" cy="2088000"/>
            <wp:effectExtent l="0" t="0" r="0" b="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800" cy="20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Cs/>
          <w:noProof/>
          <w:sz w:val="28"/>
          <w:szCs w:val="28"/>
          <w:lang w:val="nl-BE" w:eastAsia="nl-B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3094990</wp:posOffset>
            </wp:positionH>
            <wp:positionV relativeFrom="paragraph">
              <wp:posOffset>2401138</wp:posOffset>
            </wp:positionV>
            <wp:extent cx="3430800" cy="2088000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800" cy="20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Cs/>
          <w:noProof/>
          <w:sz w:val="28"/>
          <w:szCs w:val="28"/>
          <w:lang w:val="nl-BE" w:eastAsia="nl-B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751424" behindDoc="0" locked="0" layoutInCell="1" allowOverlap="1">
            <wp:simplePos x="0" y="0"/>
            <wp:positionH relativeFrom="margin">
              <wp:posOffset>3020060</wp:posOffset>
            </wp:positionH>
            <wp:positionV relativeFrom="paragraph">
              <wp:posOffset>12065</wp:posOffset>
            </wp:positionV>
            <wp:extent cx="3434080" cy="208788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080" cy="2087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2796">
        <w:rPr>
          <w:b/>
          <w:bCs/>
          <w:iCs/>
          <w:noProof/>
          <w:sz w:val="28"/>
          <w:szCs w:val="28"/>
          <w:lang w:val="nl-BE" w:eastAsia="nl-B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754496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4622165</wp:posOffset>
            </wp:positionV>
            <wp:extent cx="3430270" cy="2087880"/>
            <wp:effectExtent l="0" t="0" r="0" b="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270" cy="2087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2796">
        <w:rPr>
          <w:b/>
          <w:bCs/>
          <w:iCs/>
          <w:noProof/>
          <w:sz w:val="28"/>
          <w:szCs w:val="28"/>
          <w:lang w:val="nl-BE" w:eastAsia="nl-B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752448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2364740</wp:posOffset>
            </wp:positionV>
            <wp:extent cx="3434080" cy="208788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080" cy="2087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2796">
        <w:rPr>
          <w:b/>
          <w:bCs/>
          <w:iCs/>
          <w:noProof/>
          <w:sz w:val="28"/>
          <w:szCs w:val="28"/>
          <w:lang w:val="nl-BE" w:eastAsia="nl-B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75040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2540</wp:posOffset>
            </wp:positionV>
            <wp:extent cx="3430800" cy="208800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800" cy="20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52D0" w:rsidRPr="001B65E9">
        <w:rPr>
          <w:b/>
          <w:bCs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  <w:r w:rsidR="00BE2045" w:rsidRPr="001B65E9"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Trends in the European Investment Fund Industry</w:t>
      </w:r>
    </w:p>
    <w:p w:rsidR="00BE2045" w:rsidRDefault="00BE2045">
      <w:pPr>
        <w:pStyle w:val="Footer"/>
        <w:jc w:val="center"/>
        <w:rPr>
          <w:b/>
          <w:bCs/>
          <w:i/>
          <w:iCs/>
          <w:sz w:val="16"/>
          <w:szCs w:val="16"/>
          <w:lang w:val="en-US"/>
        </w:rPr>
      </w:pPr>
      <w:r w:rsidRPr="001B65E9"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Net Assets by Country of Domiciliation</w:t>
      </w:r>
    </w:p>
    <w:p w:rsidR="00BE2045" w:rsidRDefault="00BE2045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sz w:val="22"/>
          <w:szCs w:val="22"/>
          <w:lang w:val="en-US"/>
        </w:rPr>
      </w:pPr>
    </w:p>
    <w:p w:rsidR="0012009C" w:rsidRPr="00D62403" w:rsidRDefault="00DA7E52">
      <w:pPr>
        <w:pStyle w:val="FootnoteText"/>
        <w:jc w:val="both"/>
        <w:rPr>
          <w:b/>
          <w:color w:val="0000FF"/>
          <w:sz w:val="22"/>
          <w:szCs w:val="22"/>
        </w:rPr>
      </w:pPr>
      <w:bookmarkStart w:id="2" w:name="OLE_LINK4"/>
      <w:bookmarkStart w:id="3" w:name="OLE_LINK5"/>
      <w:r>
        <w:rPr>
          <w:b/>
          <w:color w:val="0000FF"/>
          <w:sz w:val="22"/>
          <w:szCs w:val="22"/>
        </w:rPr>
        <w:t>Total n</w:t>
      </w:r>
      <w:r w:rsidR="00980832">
        <w:rPr>
          <w:b/>
          <w:color w:val="0000FF"/>
          <w:sz w:val="22"/>
          <w:szCs w:val="22"/>
        </w:rPr>
        <w:t>et assets of European investment fund</w:t>
      </w:r>
      <w:r w:rsidR="00440368">
        <w:rPr>
          <w:b/>
          <w:color w:val="0000FF"/>
          <w:sz w:val="22"/>
          <w:szCs w:val="22"/>
        </w:rPr>
        <w:t>s</w:t>
      </w:r>
      <w:r w:rsidR="00980832">
        <w:rPr>
          <w:b/>
          <w:color w:val="0000FF"/>
          <w:sz w:val="22"/>
          <w:szCs w:val="22"/>
        </w:rPr>
        <w:t xml:space="preserve"> </w:t>
      </w:r>
      <w:r w:rsidR="00BB6CAC">
        <w:rPr>
          <w:b/>
          <w:color w:val="0000FF"/>
          <w:sz w:val="22"/>
          <w:szCs w:val="22"/>
        </w:rPr>
        <w:t>de</w:t>
      </w:r>
      <w:r w:rsidR="006416EC">
        <w:rPr>
          <w:b/>
          <w:color w:val="0000FF"/>
          <w:sz w:val="22"/>
          <w:szCs w:val="22"/>
        </w:rPr>
        <w:t>creased by</w:t>
      </w:r>
      <w:r w:rsidR="0077298C">
        <w:rPr>
          <w:b/>
          <w:color w:val="0000FF"/>
          <w:sz w:val="22"/>
          <w:szCs w:val="22"/>
        </w:rPr>
        <w:t xml:space="preserve"> </w:t>
      </w:r>
      <w:r w:rsidR="00BB6CAC">
        <w:rPr>
          <w:b/>
          <w:color w:val="0000FF"/>
          <w:sz w:val="22"/>
          <w:szCs w:val="22"/>
        </w:rPr>
        <w:t>0.5</w:t>
      </w:r>
      <w:r w:rsidR="0077298C">
        <w:rPr>
          <w:b/>
          <w:color w:val="0000FF"/>
          <w:sz w:val="22"/>
          <w:szCs w:val="22"/>
        </w:rPr>
        <w:t>%</w:t>
      </w:r>
      <w:r w:rsidR="001A796E">
        <w:rPr>
          <w:b/>
          <w:color w:val="0000FF"/>
          <w:sz w:val="22"/>
          <w:szCs w:val="22"/>
        </w:rPr>
        <w:t xml:space="preserve"> </w:t>
      </w:r>
      <w:r w:rsidR="00091E3D">
        <w:rPr>
          <w:b/>
          <w:color w:val="0000FF"/>
          <w:sz w:val="22"/>
          <w:szCs w:val="22"/>
        </w:rPr>
        <w:t>to</w:t>
      </w:r>
      <w:r>
        <w:rPr>
          <w:b/>
          <w:color w:val="0000FF"/>
          <w:sz w:val="22"/>
          <w:szCs w:val="22"/>
        </w:rPr>
        <w:t xml:space="preserve"> </w:t>
      </w:r>
      <w:r w:rsidR="00536C24">
        <w:rPr>
          <w:b/>
          <w:color w:val="0000FF"/>
          <w:sz w:val="22"/>
          <w:szCs w:val="22"/>
        </w:rPr>
        <w:t xml:space="preserve">EUR </w:t>
      </w:r>
      <w:r w:rsidR="0065269D">
        <w:rPr>
          <w:b/>
          <w:color w:val="0000FF"/>
          <w:sz w:val="22"/>
          <w:szCs w:val="22"/>
        </w:rPr>
        <w:t>1</w:t>
      </w:r>
      <w:r w:rsidR="00BB6CAC">
        <w:rPr>
          <w:b/>
          <w:color w:val="0000FF"/>
          <w:sz w:val="22"/>
          <w:szCs w:val="22"/>
        </w:rPr>
        <w:t>5</w:t>
      </w:r>
      <w:r w:rsidR="0065269D">
        <w:rPr>
          <w:b/>
          <w:color w:val="0000FF"/>
          <w:sz w:val="22"/>
          <w:szCs w:val="22"/>
        </w:rPr>
        <w:t>,</w:t>
      </w:r>
      <w:r w:rsidR="002E3015">
        <w:rPr>
          <w:b/>
          <w:color w:val="0000FF"/>
          <w:sz w:val="22"/>
          <w:szCs w:val="22"/>
        </w:rPr>
        <w:t>5</w:t>
      </w:r>
      <w:r w:rsidR="00BB6CAC">
        <w:rPr>
          <w:b/>
          <w:color w:val="0000FF"/>
          <w:sz w:val="22"/>
          <w:szCs w:val="22"/>
        </w:rPr>
        <w:t>41</w:t>
      </w:r>
      <w:r w:rsidR="00F52593">
        <w:rPr>
          <w:b/>
          <w:color w:val="0000FF"/>
          <w:sz w:val="22"/>
          <w:szCs w:val="22"/>
        </w:rPr>
        <w:t xml:space="preserve"> billion</w:t>
      </w:r>
      <w:r w:rsidR="00980832">
        <w:rPr>
          <w:b/>
          <w:color w:val="0000FF"/>
          <w:sz w:val="22"/>
          <w:szCs w:val="22"/>
        </w:rPr>
        <w:t xml:space="preserve"> at end </w:t>
      </w:r>
      <w:r w:rsidR="00BB6CAC">
        <w:rPr>
          <w:b/>
          <w:color w:val="0000FF"/>
          <w:sz w:val="22"/>
          <w:szCs w:val="22"/>
        </w:rPr>
        <w:t>Q1 2018</w:t>
      </w:r>
      <w:r w:rsidR="00980832">
        <w:rPr>
          <w:b/>
          <w:color w:val="0000FF"/>
          <w:sz w:val="22"/>
          <w:szCs w:val="22"/>
        </w:rPr>
        <w:t>.</w:t>
      </w:r>
    </w:p>
    <w:bookmarkEnd w:id="2"/>
    <w:bookmarkEnd w:id="3"/>
    <w:p w:rsidR="00E44777" w:rsidRDefault="00E44777">
      <w:pPr>
        <w:pStyle w:val="FootnoteText"/>
        <w:tabs>
          <w:tab w:val="left" w:pos="360"/>
        </w:tabs>
        <w:jc w:val="both"/>
        <w:rPr>
          <w:sz w:val="22"/>
          <w:szCs w:val="22"/>
        </w:rPr>
      </w:pPr>
    </w:p>
    <w:p w:rsidR="00F31194" w:rsidRDefault="0031048C" w:rsidP="00F31194">
      <w:pPr>
        <w:pStyle w:val="FootnoteText"/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With E</w:t>
      </w:r>
      <w:r w:rsidR="001A796E">
        <w:rPr>
          <w:sz w:val="22"/>
          <w:szCs w:val="22"/>
        </w:rPr>
        <w:t>U</w:t>
      </w:r>
      <w:r w:rsidR="00914F7E">
        <w:rPr>
          <w:sz w:val="22"/>
          <w:szCs w:val="22"/>
        </w:rPr>
        <w:t xml:space="preserve">R </w:t>
      </w:r>
      <w:r w:rsidR="00D85D85">
        <w:rPr>
          <w:sz w:val="22"/>
          <w:szCs w:val="22"/>
        </w:rPr>
        <w:t>9</w:t>
      </w:r>
      <w:r w:rsidR="00980832">
        <w:rPr>
          <w:sz w:val="22"/>
          <w:szCs w:val="22"/>
        </w:rPr>
        <w:t>,</w:t>
      </w:r>
      <w:r w:rsidR="00BB6CAC">
        <w:rPr>
          <w:sz w:val="22"/>
          <w:szCs w:val="22"/>
        </w:rPr>
        <w:t>669</w:t>
      </w:r>
      <w:r w:rsidR="00D85D85" w:rsidRPr="00654E5B">
        <w:rPr>
          <w:sz w:val="22"/>
          <w:szCs w:val="22"/>
        </w:rPr>
        <w:t xml:space="preserve"> </w:t>
      </w:r>
      <w:r w:rsidR="00F31194" w:rsidRPr="00654E5B">
        <w:rPr>
          <w:sz w:val="22"/>
          <w:szCs w:val="22"/>
        </w:rPr>
        <w:t>billion invested in UCITS, this segmen</w:t>
      </w:r>
      <w:r w:rsidR="004B5F9B">
        <w:rPr>
          <w:sz w:val="22"/>
          <w:szCs w:val="22"/>
        </w:rPr>
        <w:t>t accounted for</w:t>
      </w:r>
      <w:r w:rsidR="00DD202D">
        <w:rPr>
          <w:sz w:val="22"/>
          <w:szCs w:val="22"/>
        </w:rPr>
        <w:t xml:space="preserve"> </w:t>
      </w:r>
      <w:r w:rsidR="00BB6CAC">
        <w:rPr>
          <w:sz w:val="22"/>
          <w:szCs w:val="22"/>
        </w:rPr>
        <w:t>62.2</w:t>
      </w:r>
      <w:r w:rsidR="0077298C">
        <w:rPr>
          <w:sz w:val="22"/>
          <w:szCs w:val="22"/>
        </w:rPr>
        <w:t>%</w:t>
      </w:r>
      <w:r w:rsidR="00091E3D">
        <w:rPr>
          <w:sz w:val="22"/>
          <w:szCs w:val="22"/>
        </w:rPr>
        <w:t xml:space="preserve"> of total</w:t>
      </w:r>
      <w:r w:rsidR="00F31194" w:rsidRPr="00654E5B">
        <w:rPr>
          <w:sz w:val="22"/>
          <w:szCs w:val="22"/>
        </w:rPr>
        <w:t xml:space="preserve"> </w:t>
      </w:r>
      <w:r w:rsidR="00AA6274">
        <w:rPr>
          <w:sz w:val="22"/>
          <w:szCs w:val="22"/>
        </w:rPr>
        <w:t xml:space="preserve">European investment </w:t>
      </w:r>
      <w:r w:rsidR="00F31194" w:rsidRPr="00654E5B">
        <w:rPr>
          <w:sz w:val="22"/>
          <w:szCs w:val="22"/>
        </w:rPr>
        <w:t>fund</w:t>
      </w:r>
      <w:r w:rsidR="00914F7E">
        <w:rPr>
          <w:sz w:val="22"/>
          <w:szCs w:val="22"/>
        </w:rPr>
        <w:t xml:space="preserve"> assets at end </w:t>
      </w:r>
      <w:r w:rsidR="00BB6CAC">
        <w:rPr>
          <w:sz w:val="22"/>
          <w:szCs w:val="22"/>
        </w:rPr>
        <w:t>Q1 2018</w:t>
      </w:r>
      <w:r w:rsidR="00152993">
        <w:rPr>
          <w:sz w:val="22"/>
          <w:szCs w:val="22"/>
        </w:rPr>
        <w:t xml:space="preserve">, with the remaining </w:t>
      </w:r>
      <w:r w:rsidR="00BB6CAC">
        <w:rPr>
          <w:sz w:val="22"/>
          <w:szCs w:val="22"/>
        </w:rPr>
        <w:t>37.8</w:t>
      </w:r>
      <w:r w:rsidR="0077298C">
        <w:rPr>
          <w:sz w:val="22"/>
          <w:szCs w:val="22"/>
        </w:rPr>
        <w:t>%</w:t>
      </w:r>
      <w:r w:rsidR="00EC739E">
        <w:rPr>
          <w:sz w:val="22"/>
          <w:szCs w:val="22"/>
        </w:rPr>
        <w:t xml:space="preserve"> </w:t>
      </w:r>
      <w:r w:rsidR="00914F7E">
        <w:rPr>
          <w:sz w:val="22"/>
          <w:szCs w:val="22"/>
        </w:rPr>
        <w:t>(</w:t>
      </w:r>
      <w:r w:rsidR="00BE4AAF">
        <w:rPr>
          <w:sz w:val="22"/>
          <w:szCs w:val="22"/>
        </w:rPr>
        <w:t>or</w:t>
      </w:r>
      <w:r w:rsidR="00497EFB">
        <w:rPr>
          <w:sz w:val="22"/>
          <w:szCs w:val="22"/>
        </w:rPr>
        <w:t xml:space="preserve"> </w:t>
      </w:r>
      <w:r w:rsidR="00914F7E">
        <w:rPr>
          <w:sz w:val="22"/>
          <w:szCs w:val="22"/>
        </w:rPr>
        <w:t xml:space="preserve">EUR </w:t>
      </w:r>
      <w:r w:rsidR="00497EFB">
        <w:rPr>
          <w:sz w:val="22"/>
          <w:szCs w:val="22"/>
        </w:rPr>
        <w:t>5,</w:t>
      </w:r>
      <w:r w:rsidR="00BB6CAC">
        <w:rPr>
          <w:sz w:val="22"/>
          <w:szCs w:val="22"/>
        </w:rPr>
        <w:t>87</w:t>
      </w:r>
      <w:r w:rsidR="00DA7E52">
        <w:rPr>
          <w:sz w:val="22"/>
          <w:szCs w:val="22"/>
        </w:rPr>
        <w:t>2</w:t>
      </w:r>
      <w:r w:rsidR="00D85D85">
        <w:rPr>
          <w:sz w:val="22"/>
          <w:szCs w:val="22"/>
        </w:rPr>
        <w:t xml:space="preserve"> </w:t>
      </w:r>
      <w:r w:rsidR="00675068">
        <w:rPr>
          <w:sz w:val="22"/>
          <w:szCs w:val="22"/>
        </w:rPr>
        <w:t>billion</w:t>
      </w:r>
      <w:r w:rsidR="00A31C8C">
        <w:rPr>
          <w:sz w:val="22"/>
          <w:szCs w:val="22"/>
        </w:rPr>
        <w:t xml:space="preserve">) </w:t>
      </w:r>
      <w:r w:rsidR="00C076DD">
        <w:rPr>
          <w:sz w:val="22"/>
          <w:szCs w:val="22"/>
        </w:rPr>
        <w:t>coming from</w:t>
      </w:r>
      <w:r w:rsidR="001A796E">
        <w:rPr>
          <w:sz w:val="22"/>
          <w:szCs w:val="22"/>
        </w:rPr>
        <w:t xml:space="preserve"> </w:t>
      </w:r>
      <w:r w:rsidR="00914F7E">
        <w:rPr>
          <w:sz w:val="22"/>
          <w:szCs w:val="22"/>
        </w:rPr>
        <w:t>AIF</w:t>
      </w:r>
      <w:r w:rsidR="00EC739E">
        <w:rPr>
          <w:sz w:val="22"/>
          <w:szCs w:val="22"/>
        </w:rPr>
        <w:t>.</w:t>
      </w:r>
      <w:r w:rsidR="009D5D6A">
        <w:rPr>
          <w:sz w:val="22"/>
          <w:szCs w:val="22"/>
        </w:rPr>
        <w:t xml:space="preserve"> </w:t>
      </w:r>
    </w:p>
    <w:p w:rsidR="009757EC" w:rsidRDefault="009757EC" w:rsidP="00F31194">
      <w:pPr>
        <w:pStyle w:val="FootnoteText"/>
        <w:tabs>
          <w:tab w:val="left" w:pos="360"/>
        </w:tabs>
        <w:jc w:val="both"/>
        <w:rPr>
          <w:sz w:val="22"/>
          <w:szCs w:val="22"/>
        </w:rPr>
      </w:pPr>
    </w:p>
    <w:p w:rsidR="00F31194" w:rsidRDefault="00F31194">
      <w:pPr>
        <w:pStyle w:val="FootnoteText"/>
        <w:tabs>
          <w:tab w:val="left" w:pos="360"/>
        </w:tabs>
        <w:jc w:val="both"/>
        <w:rPr>
          <w:sz w:val="22"/>
          <w:szCs w:val="22"/>
        </w:rPr>
      </w:pPr>
    </w:p>
    <w:p w:rsidR="00152993" w:rsidRDefault="00503D96" w:rsidP="00AD3D5F">
      <w:pPr>
        <w:pStyle w:val="FootnoteText"/>
        <w:tabs>
          <w:tab w:val="left" w:pos="360"/>
        </w:tabs>
        <w:jc w:val="center"/>
      </w:pPr>
      <w:r w:rsidRPr="00503D96">
        <w:rPr>
          <w:noProof/>
          <w:lang w:val="nl-BE" w:eastAsia="nl-BE"/>
        </w:rPr>
        <w:drawing>
          <wp:anchor distT="0" distB="0" distL="114300" distR="114300" simplePos="0" relativeHeight="251772928" behindDoc="0" locked="0" layoutInCell="1" allowOverlap="1">
            <wp:simplePos x="0" y="0"/>
            <wp:positionH relativeFrom="column">
              <wp:posOffset>1016692</wp:posOffset>
            </wp:positionH>
            <wp:positionV relativeFrom="paragraph">
              <wp:posOffset>-2995</wp:posOffset>
            </wp:positionV>
            <wp:extent cx="4231005" cy="6455410"/>
            <wp:effectExtent l="0" t="0" r="0" b="254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1005" cy="645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2993" w:rsidRPr="001B65E9" w:rsidRDefault="00152993" w:rsidP="00152993">
      <w:pPr>
        <w:pStyle w:val="Footer"/>
        <w:jc w:val="cen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br w:type="page"/>
      </w:r>
      <w:r w:rsidRPr="001B65E9"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Trends in the European Investment Fund Industry</w:t>
      </w:r>
    </w:p>
    <w:p w:rsidR="00DF6EFE" w:rsidRPr="001B65E9" w:rsidRDefault="00152993" w:rsidP="00DF6EFE">
      <w:pPr>
        <w:pStyle w:val="Footer"/>
        <w:jc w:val="center"/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B65E9"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Number of Funds by Country of Domiciliation</w:t>
      </w:r>
    </w:p>
    <w:p w:rsidR="00DF6EFE" w:rsidRPr="00361684" w:rsidRDefault="00DF6EFE" w:rsidP="00361684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sz w:val="22"/>
          <w:szCs w:val="22"/>
          <w:lang w:val="en-US"/>
        </w:rPr>
      </w:pPr>
    </w:p>
    <w:p w:rsidR="00DF6EFE" w:rsidRPr="00D62403" w:rsidRDefault="00176C6A" w:rsidP="00DF6EFE">
      <w:pPr>
        <w:pStyle w:val="FootnoteText"/>
        <w:jc w:val="both"/>
        <w:rPr>
          <w:b/>
          <w:color w:val="0000FF"/>
          <w:sz w:val="22"/>
          <w:szCs w:val="22"/>
        </w:rPr>
      </w:pPr>
      <w:r>
        <w:rPr>
          <w:b/>
          <w:color w:val="0000FF"/>
          <w:sz w:val="22"/>
          <w:szCs w:val="22"/>
        </w:rPr>
        <w:t xml:space="preserve">In </w:t>
      </w:r>
      <w:r w:rsidR="00453110">
        <w:rPr>
          <w:b/>
          <w:color w:val="0000FF"/>
          <w:sz w:val="22"/>
          <w:szCs w:val="22"/>
        </w:rPr>
        <w:t>Q1 2018</w:t>
      </w:r>
      <w:r w:rsidR="00B2621B">
        <w:rPr>
          <w:b/>
          <w:color w:val="0000FF"/>
          <w:sz w:val="22"/>
          <w:szCs w:val="22"/>
        </w:rPr>
        <w:t>,</w:t>
      </w:r>
      <w:r w:rsidR="0077298C">
        <w:rPr>
          <w:b/>
          <w:color w:val="0000FF"/>
          <w:sz w:val="22"/>
          <w:szCs w:val="22"/>
        </w:rPr>
        <w:t xml:space="preserve"> t</w:t>
      </w:r>
      <w:r w:rsidR="00DF6EFE" w:rsidRPr="00654E5B">
        <w:rPr>
          <w:b/>
          <w:color w:val="0000FF"/>
          <w:sz w:val="22"/>
          <w:szCs w:val="22"/>
        </w:rPr>
        <w:t xml:space="preserve">he </w:t>
      </w:r>
      <w:r w:rsidR="00DF6EFE">
        <w:rPr>
          <w:b/>
          <w:color w:val="0000FF"/>
          <w:sz w:val="22"/>
          <w:szCs w:val="22"/>
        </w:rPr>
        <w:t xml:space="preserve">total number of UCITS </w:t>
      </w:r>
      <w:r w:rsidR="00361684">
        <w:rPr>
          <w:b/>
          <w:color w:val="0000FF"/>
          <w:sz w:val="22"/>
          <w:szCs w:val="22"/>
        </w:rPr>
        <w:t xml:space="preserve">funds </w:t>
      </w:r>
      <w:r w:rsidR="00DF6EFE">
        <w:rPr>
          <w:b/>
          <w:color w:val="0000FF"/>
          <w:sz w:val="22"/>
          <w:szCs w:val="22"/>
        </w:rPr>
        <w:t xml:space="preserve">and </w:t>
      </w:r>
      <w:r w:rsidR="00D67209">
        <w:rPr>
          <w:b/>
          <w:color w:val="0000FF"/>
          <w:sz w:val="22"/>
          <w:szCs w:val="22"/>
        </w:rPr>
        <w:t>AIF</w:t>
      </w:r>
      <w:r w:rsidR="00BE4AAF">
        <w:rPr>
          <w:b/>
          <w:color w:val="0000FF"/>
          <w:sz w:val="22"/>
          <w:szCs w:val="22"/>
        </w:rPr>
        <w:t xml:space="preserve">s </w:t>
      </w:r>
      <w:r w:rsidR="00E12937">
        <w:rPr>
          <w:b/>
          <w:color w:val="0000FF"/>
          <w:sz w:val="22"/>
          <w:szCs w:val="22"/>
        </w:rPr>
        <w:t>in</w:t>
      </w:r>
      <w:r w:rsidR="008500D7">
        <w:rPr>
          <w:b/>
          <w:color w:val="0000FF"/>
          <w:sz w:val="22"/>
          <w:szCs w:val="22"/>
        </w:rPr>
        <w:t>creased</w:t>
      </w:r>
      <w:r w:rsidR="0077298C">
        <w:rPr>
          <w:b/>
          <w:color w:val="0000FF"/>
          <w:sz w:val="22"/>
          <w:szCs w:val="22"/>
        </w:rPr>
        <w:t xml:space="preserve"> by </w:t>
      </w:r>
      <w:r w:rsidR="00E12937">
        <w:rPr>
          <w:b/>
          <w:color w:val="0000FF"/>
          <w:sz w:val="22"/>
          <w:szCs w:val="22"/>
        </w:rPr>
        <w:t>1</w:t>
      </w:r>
      <w:r w:rsidR="00361684">
        <w:rPr>
          <w:b/>
          <w:color w:val="0000FF"/>
          <w:sz w:val="22"/>
          <w:szCs w:val="22"/>
        </w:rPr>
        <w:t xml:space="preserve">%, </w:t>
      </w:r>
      <w:r w:rsidR="00C11CAC">
        <w:rPr>
          <w:b/>
          <w:color w:val="0000FF"/>
          <w:sz w:val="22"/>
          <w:szCs w:val="22"/>
        </w:rPr>
        <w:t>up</w:t>
      </w:r>
      <w:r w:rsidR="00361684">
        <w:rPr>
          <w:b/>
          <w:color w:val="0000FF"/>
          <w:sz w:val="22"/>
          <w:szCs w:val="22"/>
        </w:rPr>
        <w:t xml:space="preserve"> to </w:t>
      </w:r>
      <w:r w:rsidR="00453110">
        <w:rPr>
          <w:b/>
          <w:color w:val="0000FF"/>
          <w:sz w:val="22"/>
          <w:szCs w:val="22"/>
        </w:rPr>
        <w:t>60</w:t>
      </w:r>
      <w:r w:rsidR="00A67C5E">
        <w:rPr>
          <w:b/>
          <w:color w:val="0000FF"/>
          <w:sz w:val="22"/>
          <w:szCs w:val="22"/>
        </w:rPr>
        <w:t>,780</w:t>
      </w:r>
      <w:r w:rsidR="00361684">
        <w:rPr>
          <w:b/>
          <w:color w:val="0000FF"/>
          <w:sz w:val="22"/>
          <w:szCs w:val="22"/>
        </w:rPr>
        <w:t xml:space="preserve"> funds</w:t>
      </w:r>
      <w:r w:rsidR="008500D7">
        <w:rPr>
          <w:b/>
          <w:color w:val="0000FF"/>
          <w:sz w:val="22"/>
          <w:szCs w:val="22"/>
        </w:rPr>
        <w:t>.</w:t>
      </w:r>
    </w:p>
    <w:p w:rsidR="00152993" w:rsidRDefault="00152993" w:rsidP="00152993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sz w:val="22"/>
          <w:szCs w:val="22"/>
          <w:lang w:val="en-US"/>
        </w:rPr>
      </w:pPr>
    </w:p>
    <w:p w:rsidR="00152993" w:rsidRDefault="0092562B" w:rsidP="00152993">
      <w:pPr>
        <w:pStyle w:val="FootnoteText"/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At the end of the </w:t>
      </w:r>
      <w:r w:rsidR="00D85D85">
        <w:rPr>
          <w:sz w:val="22"/>
          <w:szCs w:val="22"/>
        </w:rPr>
        <w:t xml:space="preserve">first </w:t>
      </w:r>
      <w:r w:rsidR="0077298C">
        <w:rPr>
          <w:sz w:val="22"/>
          <w:szCs w:val="22"/>
        </w:rPr>
        <w:t xml:space="preserve">quarter of </w:t>
      </w:r>
      <w:r w:rsidR="002F73FF">
        <w:rPr>
          <w:sz w:val="22"/>
          <w:szCs w:val="22"/>
        </w:rPr>
        <w:t>2018</w:t>
      </w:r>
      <w:r w:rsidR="00AF2304">
        <w:rPr>
          <w:sz w:val="22"/>
          <w:szCs w:val="22"/>
        </w:rPr>
        <w:t>, UCITS accounted for</w:t>
      </w:r>
      <w:r w:rsidR="00232977">
        <w:rPr>
          <w:sz w:val="22"/>
          <w:szCs w:val="22"/>
        </w:rPr>
        <w:t xml:space="preserve"> </w:t>
      </w:r>
      <w:r w:rsidR="00CC7EA5">
        <w:rPr>
          <w:sz w:val="22"/>
          <w:szCs w:val="22"/>
        </w:rPr>
        <w:t>32</w:t>
      </w:r>
      <w:r w:rsidR="00D4085C">
        <w:rPr>
          <w:sz w:val="22"/>
          <w:szCs w:val="22"/>
        </w:rPr>
        <w:t>,</w:t>
      </w:r>
      <w:r w:rsidR="00A67C5E">
        <w:rPr>
          <w:sz w:val="22"/>
          <w:szCs w:val="22"/>
        </w:rPr>
        <w:t>343</w:t>
      </w:r>
      <w:r w:rsidR="00D85D85">
        <w:rPr>
          <w:sz w:val="22"/>
          <w:szCs w:val="22"/>
        </w:rPr>
        <w:t xml:space="preserve"> </w:t>
      </w:r>
      <w:r w:rsidR="00232977">
        <w:rPr>
          <w:sz w:val="22"/>
          <w:szCs w:val="22"/>
        </w:rPr>
        <w:t xml:space="preserve">funds or </w:t>
      </w:r>
      <w:r w:rsidR="00A67C5E">
        <w:rPr>
          <w:sz w:val="22"/>
          <w:szCs w:val="22"/>
        </w:rPr>
        <w:t>53</w:t>
      </w:r>
      <w:r w:rsidR="007D280E">
        <w:rPr>
          <w:sz w:val="22"/>
          <w:szCs w:val="22"/>
        </w:rPr>
        <w:t>.</w:t>
      </w:r>
      <w:r w:rsidR="00A67C5E">
        <w:rPr>
          <w:sz w:val="22"/>
          <w:szCs w:val="22"/>
        </w:rPr>
        <w:t>2</w:t>
      </w:r>
      <w:r w:rsidR="001D6F41">
        <w:rPr>
          <w:sz w:val="22"/>
          <w:szCs w:val="22"/>
        </w:rPr>
        <w:t>%</w:t>
      </w:r>
      <w:r w:rsidR="00A155D2">
        <w:rPr>
          <w:sz w:val="22"/>
          <w:szCs w:val="22"/>
        </w:rPr>
        <w:t xml:space="preserve"> </w:t>
      </w:r>
      <w:r w:rsidR="005C3F2A">
        <w:rPr>
          <w:sz w:val="22"/>
          <w:szCs w:val="22"/>
        </w:rPr>
        <w:t xml:space="preserve">of </w:t>
      </w:r>
      <w:r w:rsidR="00B16B3C">
        <w:rPr>
          <w:sz w:val="22"/>
          <w:szCs w:val="22"/>
        </w:rPr>
        <w:t xml:space="preserve">the </w:t>
      </w:r>
      <w:r w:rsidR="005C3F2A">
        <w:rPr>
          <w:sz w:val="22"/>
          <w:szCs w:val="22"/>
        </w:rPr>
        <w:t xml:space="preserve">total </w:t>
      </w:r>
      <w:r w:rsidR="00B16B3C">
        <w:rPr>
          <w:sz w:val="22"/>
          <w:szCs w:val="22"/>
        </w:rPr>
        <w:t xml:space="preserve">number of European </w:t>
      </w:r>
      <w:r w:rsidR="005C3F2A">
        <w:rPr>
          <w:sz w:val="22"/>
          <w:szCs w:val="22"/>
        </w:rPr>
        <w:t>funds</w:t>
      </w:r>
      <w:r w:rsidR="00C076DD">
        <w:rPr>
          <w:sz w:val="22"/>
          <w:szCs w:val="22"/>
        </w:rPr>
        <w:t xml:space="preserve">, </w:t>
      </w:r>
      <w:r w:rsidR="00B2621B">
        <w:rPr>
          <w:sz w:val="22"/>
          <w:szCs w:val="22"/>
        </w:rPr>
        <w:t>while</w:t>
      </w:r>
      <w:r w:rsidR="00C076DD">
        <w:rPr>
          <w:sz w:val="22"/>
          <w:szCs w:val="22"/>
        </w:rPr>
        <w:t xml:space="preserve"> AIF</w:t>
      </w:r>
      <w:r w:rsidR="00A155D2">
        <w:rPr>
          <w:sz w:val="22"/>
          <w:szCs w:val="22"/>
        </w:rPr>
        <w:t xml:space="preserve"> acc</w:t>
      </w:r>
      <w:r w:rsidR="00AF2304">
        <w:rPr>
          <w:sz w:val="22"/>
          <w:szCs w:val="22"/>
        </w:rPr>
        <w:t xml:space="preserve">ounted for </w:t>
      </w:r>
      <w:r w:rsidR="00BE4AAF">
        <w:rPr>
          <w:sz w:val="22"/>
          <w:szCs w:val="22"/>
        </w:rPr>
        <w:t>28,</w:t>
      </w:r>
      <w:r w:rsidR="00A67C5E">
        <w:rPr>
          <w:sz w:val="22"/>
          <w:szCs w:val="22"/>
        </w:rPr>
        <w:t>437</w:t>
      </w:r>
      <w:r w:rsidR="00D85D85">
        <w:rPr>
          <w:sz w:val="22"/>
          <w:szCs w:val="22"/>
        </w:rPr>
        <w:t xml:space="preserve"> </w:t>
      </w:r>
      <w:r w:rsidR="00AF2304">
        <w:rPr>
          <w:sz w:val="22"/>
          <w:szCs w:val="22"/>
        </w:rPr>
        <w:t>funds</w:t>
      </w:r>
      <w:r w:rsidR="005C3F2A">
        <w:rPr>
          <w:sz w:val="22"/>
          <w:szCs w:val="22"/>
        </w:rPr>
        <w:t xml:space="preserve"> </w:t>
      </w:r>
      <w:r w:rsidR="00B16B3C">
        <w:rPr>
          <w:sz w:val="22"/>
          <w:szCs w:val="22"/>
        </w:rPr>
        <w:t>(</w:t>
      </w:r>
      <w:r w:rsidR="00A67C5E">
        <w:rPr>
          <w:sz w:val="22"/>
          <w:szCs w:val="22"/>
        </w:rPr>
        <w:t>46</w:t>
      </w:r>
      <w:r w:rsidR="001D6F41">
        <w:rPr>
          <w:sz w:val="22"/>
          <w:szCs w:val="22"/>
        </w:rPr>
        <w:t>.</w:t>
      </w:r>
      <w:r w:rsidR="00A67C5E">
        <w:rPr>
          <w:sz w:val="22"/>
          <w:szCs w:val="22"/>
        </w:rPr>
        <w:t>8</w:t>
      </w:r>
      <w:r w:rsidR="00A155D2">
        <w:rPr>
          <w:sz w:val="22"/>
          <w:szCs w:val="22"/>
        </w:rPr>
        <w:t>%</w:t>
      </w:r>
      <w:r w:rsidR="00B16B3C">
        <w:rPr>
          <w:sz w:val="22"/>
          <w:szCs w:val="22"/>
        </w:rPr>
        <w:t>)</w:t>
      </w:r>
      <w:r w:rsidR="005C3F2A">
        <w:rPr>
          <w:sz w:val="22"/>
          <w:szCs w:val="22"/>
        </w:rPr>
        <w:t>.</w:t>
      </w:r>
    </w:p>
    <w:p w:rsidR="00152993" w:rsidRDefault="00152993" w:rsidP="00152993">
      <w:pPr>
        <w:pStyle w:val="FootnoteText"/>
        <w:tabs>
          <w:tab w:val="left" w:pos="360"/>
        </w:tabs>
        <w:jc w:val="both"/>
        <w:rPr>
          <w:sz w:val="22"/>
          <w:szCs w:val="22"/>
        </w:rPr>
      </w:pPr>
    </w:p>
    <w:p w:rsidR="00FA1C6A" w:rsidRDefault="00FA1C6A" w:rsidP="00152993">
      <w:pPr>
        <w:pStyle w:val="FootnoteText"/>
        <w:tabs>
          <w:tab w:val="left" w:pos="360"/>
        </w:tabs>
        <w:jc w:val="both"/>
        <w:rPr>
          <w:sz w:val="22"/>
          <w:szCs w:val="22"/>
        </w:rPr>
      </w:pPr>
    </w:p>
    <w:p w:rsidR="00152993" w:rsidRDefault="006D331D" w:rsidP="00152993">
      <w:pPr>
        <w:pStyle w:val="FootnoteText"/>
        <w:tabs>
          <w:tab w:val="left" w:pos="360"/>
        </w:tabs>
        <w:jc w:val="center"/>
      </w:pPr>
      <w:r w:rsidRPr="006D331D">
        <w:rPr>
          <w:noProof/>
          <w:lang w:val="nl-BE" w:eastAsia="nl-BE"/>
        </w:rPr>
        <w:drawing>
          <wp:inline distT="0" distB="0" distL="0" distR="0">
            <wp:extent cx="4324350" cy="62388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623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5D2" w:rsidRDefault="00A155D2" w:rsidP="00152993">
      <w:pPr>
        <w:pStyle w:val="FootnoteText"/>
        <w:tabs>
          <w:tab w:val="left" w:pos="360"/>
        </w:tabs>
        <w:jc w:val="center"/>
      </w:pPr>
    </w:p>
    <w:p w:rsidR="001665DF" w:rsidRDefault="001665DF" w:rsidP="00AD3D5F">
      <w:pPr>
        <w:pStyle w:val="FootnoteText"/>
        <w:tabs>
          <w:tab w:val="left" w:pos="360"/>
        </w:tabs>
        <w:jc w:val="center"/>
      </w:pPr>
    </w:p>
    <w:sectPr w:rsidR="001665DF">
      <w:headerReference w:type="default" r:id="rId40"/>
      <w:footerReference w:type="default" r:id="rId41"/>
      <w:pgSz w:w="11906" w:h="16838" w:code="9"/>
      <w:pgMar w:top="794" w:right="1021" w:bottom="1134" w:left="1021" w:header="709" w:footer="709" w:gutter="0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D96" w:rsidRDefault="00353D96">
      <w:r>
        <w:separator/>
      </w:r>
    </w:p>
  </w:endnote>
  <w:endnote w:type="continuationSeparator" w:id="0">
    <w:p w:rsidR="00353D96" w:rsidRDefault="00353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149" w:rsidRDefault="00C24149" w:rsidP="00E009CD">
    <w:pPr>
      <w:pStyle w:val="Footer"/>
      <w:tabs>
        <w:tab w:val="left" w:pos="9270"/>
      </w:tabs>
      <w:ind w:right="360"/>
      <w:jc w:val="right"/>
      <w:rPr>
        <w:i/>
        <w:iCs/>
      </w:rPr>
    </w:pPr>
    <w:r>
      <w:rPr>
        <w:i/>
        <w:iCs/>
      </w:rPr>
      <w:t>EFAMA Quarterly Statistical Release N°</w:t>
    </w:r>
    <w:r w:rsidR="003E2E36">
      <w:rPr>
        <w:i/>
        <w:iCs/>
      </w:rPr>
      <w:t xml:space="preserve"> </w:t>
    </w:r>
    <w:r w:rsidR="00E77BF9">
      <w:rPr>
        <w:i/>
        <w:iCs/>
      </w:rPr>
      <w:t>73</w:t>
    </w:r>
    <w:r>
      <w:rPr>
        <w:i/>
        <w:iCs/>
      </w:rPr>
      <w:t xml:space="preserve"> (First quarter of 201</w:t>
    </w:r>
    <w:r w:rsidR="00E77BF9">
      <w:rPr>
        <w:i/>
        <w:iCs/>
      </w:rPr>
      <w:t>8</w:t>
    </w:r>
    <w:r>
      <w:rPr>
        <w:i/>
        <w:iCs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D96" w:rsidRDefault="00353D96">
      <w:r>
        <w:separator/>
      </w:r>
    </w:p>
  </w:footnote>
  <w:footnote w:type="continuationSeparator" w:id="0">
    <w:p w:rsidR="00353D96" w:rsidRDefault="00353D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149" w:rsidRDefault="00C24149">
    <w:pPr>
      <w:pStyle w:val="Header"/>
      <w:framePr w:wrap="auto" w:vAnchor="text" w:hAnchor="margin" w:xAlign="right" w:y="1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PAGE  </w:instrText>
    </w:r>
    <w:r>
      <w:rPr>
        <w:rStyle w:val="PageNumber"/>
        <w:sz w:val="20"/>
        <w:szCs w:val="20"/>
      </w:rPr>
      <w:fldChar w:fldCharType="separate"/>
    </w:r>
    <w:r w:rsidR="00DD12A5">
      <w:rPr>
        <w:rStyle w:val="PageNumber"/>
        <w:noProof/>
        <w:sz w:val="20"/>
        <w:szCs w:val="20"/>
      </w:rPr>
      <w:t>14</w:t>
    </w:r>
    <w:r>
      <w:rPr>
        <w:rStyle w:val="PageNumber"/>
        <w:sz w:val="20"/>
        <w:szCs w:val="20"/>
      </w:rPr>
      <w:fldChar w:fldCharType="end"/>
    </w:r>
  </w:p>
  <w:p w:rsidR="00C24149" w:rsidRDefault="00C24149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44409"/>
    <w:multiLevelType w:val="hybridMultilevel"/>
    <w:tmpl w:val="8B049856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5C0CEB"/>
    <w:multiLevelType w:val="hybridMultilevel"/>
    <w:tmpl w:val="E6BA0C3E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17CD0"/>
    <w:multiLevelType w:val="hybridMultilevel"/>
    <w:tmpl w:val="ECB0AA64"/>
    <w:lvl w:ilvl="0" w:tplc="16A40F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26C17"/>
    <w:multiLevelType w:val="hybridMultilevel"/>
    <w:tmpl w:val="D528DBB2"/>
    <w:lvl w:ilvl="0" w:tplc="8D7C54F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10B58"/>
    <w:multiLevelType w:val="hybridMultilevel"/>
    <w:tmpl w:val="B4FC9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22FCD"/>
    <w:multiLevelType w:val="hybridMultilevel"/>
    <w:tmpl w:val="552E4D6C"/>
    <w:lvl w:ilvl="0" w:tplc="8CDC36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A150B"/>
    <w:multiLevelType w:val="hybridMultilevel"/>
    <w:tmpl w:val="E384F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4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076C5"/>
    <w:multiLevelType w:val="hybridMultilevel"/>
    <w:tmpl w:val="5F9687AA"/>
    <w:lvl w:ilvl="0" w:tplc="A87048F8">
      <w:start w:val="200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B57D3"/>
    <w:multiLevelType w:val="hybridMultilevel"/>
    <w:tmpl w:val="25769C7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F951C9"/>
    <w:multiLevelType w:val="hybridMultilevel"/>
    <w:tmpl w:val="B9F68BB4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960A07"/>
    <w:multiLevelType w:val="hybridMultilevel"/>
    <w:tmpl w:val="CA6E74AE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DE7362"/>
    <w:multiLevelType w:val="hybridMultilevel"/>
    <w:tmpl w:val="AD0A06FA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C75585"/>
    <w:multiLevelType w:val="hybridMultilevel"/>
    <w:tmpl w:val="337A3E8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C723AC"/>
    <w:multiLevelType w:val="hybridMultilevel"/>
    <w:tmpl w:val="57C8FA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24F11"/>
    <w:multiLevelType w:val="hybridMultilevel"/>
    <w:tmpl w:val="11BA6A0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6F493C"/>
    <w:multiLevelType w:val="hybridMultilevel"/>
    <w:tmpl w:val="A56E0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73055D"/>
    <w:multiLevelType w:val="hybridMultilevel"/>
    <w:tmpl w:val="31340A3A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A9099C"/>
    <w:multiLevelType w:val="hybridMultilevel"/>
    <w:tmpl w:val="50D8E044"/>
    <w:lvl w:ilvl="0" w:tplc="F81861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D6BC6"/>
    <w:multiLevelType w:val="hybridMultilevel"/>
    <w:tmpl w:val="A6C6A15E"/>
    <w:lvl w:ilvl="0" w:tplc="AEE4F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0D6081"/>
    <w:multiLevelType w:val="hybridMultilevel"/>
    <w:tmpl w:val="F36AD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22E2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7921A1"/>
    <w:multiLevelType w:val="hybridMultilevel"/>
    <w:tmpl w:val="6F9E8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F36C01"/>
    <w:multiLevelType w:val="hybridMultilevel"/>
    <w:tmpl w:val="63B829A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161019"/>
    <w:multiLevelType w:val="hybridMultilevel"/>
    <w:tmpl w:val="D604E262"/>
    <w:lvl w:ilvl="0" w:tplc="342AA9D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CCE044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F3D86"/>
    <w:multiLevelType w:val="hybridMultilevel"/>
    <w:tmpl w:val="6ACEE474"/>
    <w:lvl w:ilvl="0" w:tplc="C4CC5C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77949"/>
    <w:multiLevelType w:val="hybridMultilevel"/>
    <w:tmpl w:val="EAB4B702"/>
    <w:lvl w:ilvl="0" w:tplc="A87048F8">
      <w:start w:val="200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D36E15"/>
    <w:multiLevelType w:val="hybridMultilevel"/>
    <w:tmpl w:val="7FD4788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5D205A"/>
    <w:multiLevelType w:val="hybridMultilevel"/>
    <w:tmpl w:val="0E0AFF06"/>
    <w:lvl w:ilvl="0" w:tplc="DA8232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B15"/>
    <w:multiLevelType w:val="hybridMultilevel"/>
    <w:tmpl w:val="5BBA5F78"/>
    <w:lvl w:ilvl="0" w:tplc="1E4A7B9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A64B90"/>
    <w:multiLevelType w:val="hybridMultilevel"/>
    <w:tmpl w:val="12C42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4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EE5079"/>
    <w:multiLevelType w:val="multilevel"/>
    <w:tmpl w:val="4BD80D06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E33F1B"/>
    <w:multiLevelType w:val="hybridMultilevel"/>
    <w:tmpl w:val="6FD6D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4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255440"/>
    <w:multiLevelType w:val="hybridMultilevel"/>
    <w:tmpl w:val="C11034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C44C8F"/>
    <w:multiLevelType w:val="hybridMultilevel"/>
    <w:tmpl w:val="B27E4150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ECC5CF4"/>
    <w:multiLevelType w:val="hybridMultilevel"/>
    <w:tmpl w:val="6F208198"/>
    <w:lvl w:ilvl="0" w:tplc="981CF2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2921FB"/>
    <w:multiLevelType w:val="hybridMultilevel"/>
    <w:tmpl w:val="747E9984"/>
    <w:lvl w:ilvl="0" w:tplc="2E92DC3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147848"/>
    <w:multiLevelType w:val="hybridMultilevel"/>
    <w:tmpl w:val="956CFC40"/>
    <w:lvl w:ilvl="0" w:tplc="08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B519F5"/>
    <w:multiLevelType w:val="hybridMultilevel"/>
    <w:tmpl w:val="7908B7DE"/>
    <w:lvl w:ilvl="0" w:tplc="C18A64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3F239A"/>
    <w:multiLevelType w:val="hybridMultilevel"/>
    <w:tmpl w:val="4CD4E80A"/>
    <w:lvl w:ilvl="0" w:tplc="E1D8CEE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6"/>
  </w:num>
  <w:num w:numId="4">
    <w:abstractNumId w:val="25"/>
  </w:num>
  <w:num w:numId="5">
    <w:abstractNumId w:val="21"/>
  </w:num>
  <w:num w:numId="6">
    <w:abstractNumId w:val="8"/>
  </w:num>
  <w:num w:numId="7">
    <w:abstractNumId w:val="24"/>
  </w:num>
  <w:num w:numId="8">
    <w:abstractNumId w:val="7"/>
  </w:num>
  <w:num w:numId="9">
    <w:abstractNumId w:val="22"/>
  </w:num>
  <w:num w:numId="10">
    <w:abstractNumId w:val="31"/>
  </w:num>
  <w:num w:numId="11">
    <w:abstractNumId w:val="32"/>
  </w:num>
  <w:num w:numId="12">
    <w:abstractNumId w:val="29"/>
  </w:num>
  <w:num w:numId="13">
    <w:abstractNumId w:val="10"/>
  </w:num>
  <w:num w:numId="14">
    <w:abstractNumId w:val="11"/>
  </w:num>
  <w:num w:numId="15">
    <w:abstractNumId w:val="0"/>
  </w:num>
  <w:num w:numId="16">
    <w:abstractNumId w:val="1"/>
  </w:num>
  <w:num w:numId="1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36"/>
  </w:num>
  <w:num w:numId="20">
    <w:abstractNumId w:val="2"/>
  </w:num>
  <w:num w:numId="21">
    <w:abstractNumId w:val="34"/>
  </w:num>
  <w:num w:numId="22">
    <w:abstractNumId w:val="5"/>
  </w:num>
  <w:num w:numId="23">
    <w:abstractNumId w:val="26"/>
  </w:num>
  <w:num w:numId="24">
    <w:abstractNumId w:val="33"/>
  </w:num>
  <w:num w:numId="2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8"/>
  </w:num>
  <w:num w:numId="28">
    <w:abstractNumId w:val="23"/>
  </w:num>
  <w:num w:numId="29">
    <w:abstractNumId w:val="19"/>
  </w:num>
  <w:num w:numId="30">
    <w:abstractNumId w:val="13"/>
  </w:num>
  <w:num w:numId="31">
    <w:abstractNumId w:val="14"/>
  </w:num>
  <w:num w:numId="32">
    <w:abstractNumId w:val="35"/>
  </w:num>
  <w:num w:numId="33">
    <w:abstractNumId w:val="27"/>
  </w:num>
  <w:num w:numId="34">
    <w:abstractNumId w:val="37"/>
  </w:num>
  <w:num w:numId="35">
    <w:abstractNumId w:val="4"/>
  </w:num>
  <w:num w:numId="36">
    <w:abstractNumId w:val="15"/>
  </w:num>
  <w:num w:numId="37">
    <w:abstractNumId w:val="6"/>
  </w:num>
  <w:num w:numId="38">
    <w:abstractNumId w:val="30"/>
  </w:num>
  <w:num w:numId="39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4"/>
  <w:drawingGridVerticalSpacing w:val="14"/>
  <w:displayHorizontalDrawingGridEvery w:val="0"/>
  <w:displayVerticalDrawingGridEvery w:val="3"/>
  <w:doNotUseMarginsForDrawingGridOrigin/>
  <w:drawingGridHorizontalOrigin w:val="1699"/>
  <w:drawingGridVerticalOrigin w:val="1987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F93"/>
    <w:rsid w:val="00000909"/>
    <w:rsid w:val="00000E96"/>
    <w:rsid w:val="000021E2"/>
    <w:rsid w:val="00002C7A"/>
    <w:rsid w:val="0000557D"/>
    <w:rsid w:val="0000603C"/>
    <w:rsid w:val="000072E8"/>
    <w:rsid w:val="00007955"/>
    <w:rsid w:val="00011437"/>
    <w:rsid w:val="00013347"/>
    <w:rsid w:val="00013601"/>
    <w:rsid w:val="000143F1"/>
    <w:rsid w:val="00015029"/>
    <w:rsid w:val="000156F4"/>
    <w:rsid w:val="00015A9A"/>
    <w:rsid w:val="00016869"/>
    <w:rsid w:val="0001687B"/>
    <w:rsid w:val="0001732B"/>
    <w:rsid w:val="00017503"/>
    <w:rsid w:val="00017F66"/>
    <w:rsid w:val="00020BB4"/>
    <w:rsid w:val="000240E8"/>
    <w:rsid w:val="000241F0"/>
    <w:rsid w:val="00024985"/>
    <w:rsid w:val="0002568C"/>
    <w:rsid w:val="000271CE"/>
    <w:rsid w:val="000277C2"/>
    <w:rsid w:val="00027DAD"/>
    <w:rsid w:val="00031C6F"/>
    <w:rsid w:val="00033C5A"/>
    <w:rsid w:val="00033F37"/>
    <w:rsid w:val="0003455A"/>
    <w:rsid w:val="000345E8"/>
    <w:rsid w:val="000347A3"/>
    <w:rsid w:val="00034F2C"/>
    <w:rsid w:val="00035267"/>
    <w:rsid w:val="00036843"/>
    <w:rsid w:val="00037E90"/>
    <w:rsid w:val="00037F73"/>
    <w:rsid w:val="00040297"/>
    <w:rsid w:val="000409C1"/>
    <w:rsid w:val="00040D1C"/>
    <w:rsid w:val="00040E7E"/>
    <w:rsid w:val="0004187C"/>
    <w:rsid w:val="000423E1"/>
    <w:rsid w:val="000438E1"/>
    <w:rsid w:val="00044211"/>
    <w:rsid w:val="00044B87"/>
    <w:rsid w:val="00045D50"/>
    <w:rsid w:val="00045ED9"/>
    <w:rsid w:val="000463D0"/>
    <w:rsid w:val="00047145"/>
    <w:rsid w:val="00047D53"/>
    <w:rsid w:val="00047F76"/>
    <w:rsid w:val="00053322"/>
    <w:rsid w:val="00053AD6"/>
    <w:rsid w:val="00054657"/>
    <w:rsid w:val="00054D60"/>
    <w:rsid w:val="00056626"/>
    <w:rsid w:val="00056A30"/>
    <w:rsid w:val="000578E5"/>
    <w:rsid w:val="00061A1C"/>
    <w:rsid w:val="00061C27"/>
    <w:rsid w:val="0006310F"/>
    <w:rsid w:val="00063CCB"/>
    <w:rsid w:val="00064214"/>
    <w:rsid w:val="000653F2"/>
    <w:rsid w:val="00066F76"/>
    <w:rsid w:val="00067DE3"/>
    <w:rsid w:val="00070171"/>
    <w:rsid w:val="00070B33"/>
    <w:rsid w:val="000714A9"/>
    <w:rsid w:val="00071E2E"/>
    <w:rsid w:val="00072669"/>
    <w:rsid w:val="00073987"/>
    <w:rsid w:val="000744BE"/>
    <w:rsid w:val="000775A7"/>
    <w:rsid w:val="000779E5"/>
    <w:rsid w:val="00080D20"/>
    <w:rsid w:val="00081071"/>
    <w:rsid w:val="000817B9"/>
    <w:rsid w:val="00081B3F"/>
    <w:rsid w:val="0008254F"/>
    <w:rsid w:val="00082BB1"/>
    <w:rsid w:val="00083A2E"/>
    <w:rsid w:val="000843DD"/>
    <w:rsid w:val="00084B61"/>
    <w:rsid w:val="000851B3"/>
    <w:rsid w:val="000864D3"/>
    <w:rsid w:val="00086B6E"/>
    <w:rsid w:val="00087ABD"/>
    <w:rsid w:val="00087D87"/>
    <w:rsid w:val="000902A4"/>
    <w:rsid w:val="00090F82"/>
    <w:rsid w:val="00091523"/>
    <w:rsid w:val="00091E3D"/>
    <w:rsid w:val="0009375C"/>
    <w:rsid w:val="0009516D"/>
    <w:rsid w:val="00095564"/>
    <w:rsid w:val="00097037"/>
    <w:rsid w:val="00097964"/>
    <w:rsid w:val="000A0790"/>
    <w:rsid w:val="000A0BC0"/>
    <w:rsid w:val="000A2D59"/>
    <w:rsid w:val="000A3084"/>
    <w:rsid w:val="000A3923"/>
    <w:rsid w:val="000A3B29"/>
    <w:rsid w:val="000A77C2"/>
    <w:rsid w:val="000B03BD"/>
    <w:rsid w:val="000B0564"/>
    <w:rsid w:val="000B06C2"/>
    <w:rsid w:val="000B0B3D"/>
    <w:rsid w:val="000B25BE"/>
    <w:rsid w:val="000B378A"/>
    <w:rsid w:val="000B3DB4"/>
    <w:rsid w:val="000B466E"/>
    <w:rsid w:val="000B4EDD"/>
    <w:rsid w:val="000B52FE"/>
    <w:rsid w:val="000B5BBC"/>
    <w:rsid w:val="000B5BF1"/>
    <w:rsid w:val="000B6767"/>
    <w:rsid w:val="000B7C55"/>
    <w:rsid w:val="000C2946"/>
    <w:rsid w:val="000C2E9E"/>
    <w:rsid w:val="000C345C"/>
    <w:rsid w:val="000C394B"/>
    <w:rsid w:val="000C3AB6"/>
    <w:rsid w:val="000C5134"/>
    <w:rsid w:val="000C522E"/>
    <w:rsid w:val="000C561E"/>
    <w:rsid w:val="000C6D7A"/>
    <w:rsid w:val="000D143A"/>
    <w:rsid w:val="000D1521"/>
    <w:rsid w:val="000D17BF"/>
    <w:rsid w:val="000D1C75"/>
    <w:rsid w:val="000D2C47"/>
    <w:rsid w:val="000D2E16"/>
    <w:rsid w:val="000D2F8E"/>
    <w:rsid w:val="000D3D28"/>
    <w:rsid w:val="000D4CD9"/>
    <w:rsid w:val="000D50FA"/>
    <w:rsid w:val="000D5650"/>
    <w:rsid w:val="000D639B"/>
    <w:rsid w:val="000D7292"/>
    <w:rsid w:val="000E08F1"/>
    <w:rsid w:val="000E3420"/>
    <w:rsid w:val="000E3C2A"/>
    <w:rsid w:val="000E4B97"/>
    <w:rsid w:val="000E5950"/>
    <w:rsid w:val="000E6434"/>
    <w:rsid w:val="000E774C"/>
    <w:rsid w:val="000E7B92"/>
    <w:rsid w:val="000E7DB4"/>
    <w:rsid w:val="000F0315"/>
    <w:rsid w:val="000F0527"/>
    <w:rsid w:val="000F0993"/>
    <w:rsid w:val="000F1A5C"/>
    <w:rsid w:val="000F35B3"/>
    <w:rsid w:val="000F35E3"/>
    <w:rsid w:val="000F40D8"/>
    <w:rsid w:val="000F4E95"/>
    <w:rsid w:val="000F5251"/>
    <w:rsid w:val="000F54F4"/>
    <w:rsid w:val="000F5E1F"/>
    <w:rsid w:val="000F708B"/>
    <w:rsid w:val="000F7184"/>
    <w:rsid w:val="000F724B"/>
    <w:rsid w:val="00100B9A"/>
    <w:rsid w:val="00101721"/>
    <w:rsid w:val="001046B5"/>
    <w:rsid w:val="00104F7D"/>
    <w:rsid w:val="00105999"/>
    <w:rsid w:val="00105FAB"/>
    <w:rsid w:val="00106448"/>
    <w:rsid w:val="0010683D"/>
    <w:rsid w:val="001076C3"/>
    <w:rsid w:val="00110791"/>
    <w:rsid w:val="00114B2D"/>
    <w:rsid w:val="001161C9"/>
    <w:rsid w:val="00117719"/>
    <w:rsid w:val="0011779D"/>
    <w:rsid w:val="0012009C"/>
    <w:rsid w:val="001209A0"/>
    <w:rsid w:val="001213C2"/>
    <w:rsid w:val="001222DB"/>
    <w:rsid w:val="00122B81"/>
    <w:rsid w:val="00122D19"/>
    <w:rsid w:val="0012416B"/>
    <w:rsid w:val="001253E0"/>
    <w:rsid w:val="00125F61"/>
    <w:rsid w:val="00126074"/>
    <w:rsid w:val="00127649"/>
    <w:rsid w:val="001300AD"/>
    <w:rsid w:val="00130439"/>
    <w:rsid w:val="00130663"/>
    <w:rsid w:val="00130C4A"/>
    <w:rsid w:val="00130E9F"/>
    <w:rsid w:val="0013191A"/>
    <w:rsid w:val="00131AFA"/>
    <w:rsid w:val="00132832"/>
    <w:rsid w:val="00132EDE"/>
    <w:rsid w:val="00135F0F"/>
    <w:rsid w:val="001402F6"/>
    <w:rsid w:val="001408F3"/>
    <w:rsid w:val="001412B9"/>
    <w:rsid w:val="001419CC"/>
    <w:rsid w:val="00142022"/>
    <w:rsid w:val="001422B2"/>
    <w:rsid w:val="001423AB"/>
    <w:rsid w:val="00142E95"/>
    <w:rsid w:val="001434FB"/>
    <w:rsid w:val="001439C2"/>
    <w:rsid w:val="001441C6"/>
    <w:rsid w:val="001448D2"/>
    <w:rsid w:val="00145773"/>
    <w:rsid w:val="00145C9F"/>
    <w:rsid w:val="00145FCF"/>
    <w:rsid w:val="00146147"/>
    <w:rsid w:val="001462CD"/>
    <w:rsid w:val="00147EF8"/>
    <w:rsid w:val="0015022B"/>
    <w:rsid w:val="0015029A"/>
    <w:rsid w:val="0015053F"/>
    <w:rsid w:val="001523DA"/>
    <w:rsid w:val="00152932"/>
    <w:rsid w:val="00152993"/>
    <w:rsid w:val="0015494B"/>
    <w:rsid w:val="0015542F"/>
    <w:rsid w:val="00156178"/>
    <w:rsid w:val="00157CEC"/>
    <w:rsid w:val="00160B5C"/>
    <w:rsid w:val="001613E1"/>
    <w:rsid w:val="00161CCC"/>
    <w:rsid w:val="00162E35"/>
    <w:rsid w:val="001647BF"/>
    <w:rsid w:val="00164941"/>
    <w:rsid w:val="00166286"/>
    <w:rsid w:val="001665DF"/>
    <w:rsid w:val="00170350"/>
    <w:rsid w:val="0017146B"/>
    <w:rsid w:val="00171BB7"/>
    <w:rsid w:val="00171DDB"/>
    <w:rsid w:val="00172819"/>
    <w:rsid w:val="00175147"/>
    <w:rsid w:val="001760C4"/>
    <w:rsid w:val="0017685E"/>
    <w:rsid w:val="00176C6A"/>
    <w:rsid w:val="00177462"/>
    <w:rsid w:val="001802F4"/>
    <w:rsid w:val="0018226D"/>
    <w:rsid w:val="00182AF2"/>
    <w:rsid w:val="0018397E"/>
    <w:rsid w:val="0018445D"/>
    <w:rsid w:val="00184F0C"/>
    <w:rsid w:val="00186213"/>
    <w:rsid w:val="0018697B"/>
    <w:rsid w:val="001872F0"/>
    <w:rsid w:val="0018744E"/>
    <w:rsid w:val="00190C2E"/>
    <w:rsid w:val="0019142C"/>
    <w:rsid w:val="00191CF2"/>
    <w:rsid w:val="00192EE9"/>
    <w:rsid w:val="001939D8"/>
    <w:rsid w:val="0019438F"/>
    <w:rsid w:val="00194BDF"/>
    <w:rsid w:val="001950B8"/>
    <w:rsid w:val="001955BD"/>
    <w:rsid w:val="001A0AF1"/>
    <w:rsid w:val="001A17F7"/>
    <w:rsid w:val="001A1F1F"/>
    <w:rsid w:val="001A24AF"/>
    <w:rsid w:val="001A2C72"/>
    <w:rsid w:val="001A38ED"/>
    <w:rsid w:val="001A415A"/>
    <w:rsid w:val="001A429E"/>
    <w:rsid w:val="001A4AE0"/>
    <w:rsid w:val="001A5368"/>
    <w:rsid w:val="001A6388"/>
    <w:rsid w:val="001A78C8"/>
    <w:rsid w:val="001A796E"/>
    <w:rsid w:val="001A7D95"/>
    <w:rsid w:val="001B2438"/>
    <w:rsid w:val="001B2AD9"/>
    <w:rsid w:val="001B32DA"/>
    <w:rsid w:val="001B42C4"/>
    <w:rsid w:val="001B4D3C"/>
    <w:rsid w:val="001B65E9"/>
    <w:rsid w:val="001B6FA7"/>
    <w:rsid w:val="001B7E06"/>
    <w:rsid w:val="001C056C"/>
    <w:rsid w:val="001C0A14"/>
    <w:rsid w:val="001C105D"/>
    <w:rsid w:val="001C1D5E"/>
    <w:rsid w:val="001C2BB5"/>
    <w:rsid w:val="001C41D6"/>
    <w:rsid w:val="001C57F8"/>
    <w:rsid w:val="001C5AA4"/>
    <w:rsid w:val="001C62BA"/>
    <w:rsid w:val="001C6BCF"/>
    <w:rsid w:val="001C6C0A"/>
    <w:rsid w:val="001C6F81"/>
    <w:rsid w:val="001D0E92"/>
    <w:rsid w:val="001D0F2D"/>
    <w:rsid w:val="001D1357"/>
    <w:rsid w:val="001D1704"/>
    <w:rsid w:val="001D1987"/>
    <w:rsid w:val="001D1DEA"/>
    <w:rsid w:val="001D3469"/>
    <w:rsid w:val="001D4458"/>
    <w:rsid w:val="001D5187"/>
    <w:rsid w:val="001D5AED"/>
    <w:rsid w:val="001D5C88"/>
    <w:rsid w:val="001D64CB"/>
    <w:rsid w:val="001D6932"/>
    <w:rsid w:val="001D6F41"/>
    <w:rsid w:val="001D6F93"/>
    <w:rsid w:val="001E0E39"/>
    <w:rsid w:val="001E17FE"/>
    <w:rsid w:val="001E1B11"/>
    <w:rsid w:val="001E1B12"/>
    <w:rsid w:val="001E30C4"/>
    <w:rsid w:val="001E381E"/>
    <w:rsid w:val="001E3E79"/>
    <w:rsid w:val="001E3FE4"/>
    <w:rsid w:val="001E5650"/>
    <w:rsid w:val="001E5FE9"/>
    <w:rsid w:val="001E78F2"/>
    <w:rsid w:val="001E7DA7"/>
    <w:rsid w:val="001F1235"/>
    <w:rsid w:val="001F1A21"/>
    <w:rsid w:val="001F2456"/>
    <w:rsid w:val="001F247A"/>
    <w:rsid w:val="001F2D54"/>
    <w:rsid w:val="001F30F5"/>
    <w:rsid w:val="001F64B6"/>
    <w:rsid w:val="001F6781"/>
    <w:rsid w:val="001F6E56"/>
    <w:rsid w:val="001F776C"/>
    <w:rsid w:val="002004A7"/>
    <w:rsid w:val="00201275"/>
    <w:rsid w:val="00203CCC"/>
    <w:rsid w:val="00206E8D"/>
    <w:rsid w:val="00207327"/>
    <w:rsid w:val="00207A7A"/>
    <w:rsid w:val="0021304C"/>
    <w:rsid w:val="00213509"/>
    <w:rsid w:val="00213FB7"/>
    <w:rsid w:val="0021584E"/>
    <w:rsid w:val="0021614B"/>
    <w:rsid w:val="002171EE"/>
    <w:rsid w:val="002179AA"/>
    <w:rsid w:val="00217A0A"/>
    <w:rsid w:val="00221202"/>
    <w:rsid w:val="00221E57"/>
    <w:rsid w:val="00222F89"/>
    <w:rsid w:val="0022354A"/>
    <w:rsid w:val="00223783"/>
    <w:rsid w:val="0022448F"/>
    <w:rsid w:val="002259C4"/>
    <w:rsid w:val="002265B4"/>
    <w:rsid w:val="00227060"/>
    <w:rsid w:val="00227825"/>
    <w:rsid w:val="00227C9D"/>
    <w:rsid w:val="00230194"/>
    <w:rsid w:val="0023059D"/>
    <w:rsid w:val="00232977"/>
    <w:rsid w:val="00233031"/>
    <w:rsid w:val="002349AE"/>
    <w:rsid w:val="00234A45"/>
    <w:rsid w:val="002354D9"/>
    <w:rsid w:val="00235A51"/>
    <w:rsid w:val="00235BFD"/>
    <w:rsid w:val="00235C1D"/>
    <w:rsid w:val="00236247"/>
    <w:rsid w:val="00242337"/>
    <w:rsid w:val="002429CC"/>
    <w:rsid w:val="002429E3"/>
    <w:rsid w:val="00242A62"/>
    <w:rsid w:val="00243327"/>
    <w:rsid w:val="00243A27"/>
    <w:rsid w:val="00243C88"/>
    <w:rsid w:val="00246616"/>
    <w:rsid w:val="0024688C"/>
    <w:rsid w:val="00247CF8"/>
    <w:rsid w:val="00250596"/>
    <w:rsid w:val="00250678"/>
    <w:rsid w:val="002517AF"/>
    <w:rsid w:val="002535E4"/>
    <w:rsid w:val="002539E5"/>
    <w:rsid w:val="002548EA"/>
    <w:rsid w:val="0025518C"/>
    <w:rsid w:val="002556EB"/>
    <w:rsid w:val="00256D10"/>
    <w:rsid w:val="002575F4"/>
    <w:rsid w:val="00260737"/>
    <w:rsid w:val="00261CDE"/>
    <w:rsid w:val="0026277B"/>
    <w:rsid w:val="00262840"/>
    <w:rsid w:val="0026297C"/>
    <w:rsid w:val="002636D8"/>
    <w:rsid w:val="0026465F"/>
    <w:rsid w:val="00264C0F"/>
    <w:rsid w:val="00265448"/>
    <w:rsid w:val="00265A6C"/>
    <w:rsid w:val="00266299"/>
    <w:rsid w:val="00266F40"/>
    <w:rsid w:val="0026710F"/>
    <w:rsid w:val="00267315"/>
    <w:rsid w:val="0026782C"/>
    <w:rsid w:val="00267C95"/>
    <w:rsid w:val="0027129D"/>
    <w:rsid w:val="00271613"/>
    <w:rsid w:val="00271CDD"/>
    <w:rsid w:val="002722AF"/>
    <w:rsid w:val="002725E4"/>
    <w:rsid w:val="002730C0"/>
    <w:rsid w:val="00274031"/>
    <w:rsid w:val="0027558D"/>
    <w:rsid w:val="00276B08"/>
    <w:rsid w:val="002770D3"/>
    <w:rsid w:val="00277204"/>
    <w:rsid w:val="0028266E"/>
    <w:rsid w:val="00283F1E"/>
    <w:rsid w:val="00285095"/>
    <w:rsid w:val="0028590F"/>
    <w:rsid w:val="00286411"/>
    <w:rsid w:val="00286DC4"/>
    <w:rsid w:val="00287526"/>
    <w:rsid w:val="002875E1"/>
    <w:rsid w:val="00287AF5"/>
    <w:rsid w:val="0029111E"/>
    <w:rsid w:val="00292DC3"/>
    <w:rsid w:val="00294156"/>
    <w:rsid w:val="0029445C"/>
    <w:rsid w:val="00294D10"/>
    <w:rsid w:val="00295B41"/>
    <w:rsid w:val="00296058"/>
    <w:rsid w:val="00297212"/>
    <w:rsid w:val="002A0F6B"/>
    <w:rsid w:val="002A1355"/>
    <w:rsid w:val="002A152F"/>
    <w:rsid w:val="002A1C33"/>
    <w:rsid w:val="002A28E9"/>
    <w:rsid w:val="002A4E57"/>
    <w:rsid w:val="002A5CF9"/>
    <w:rsid w:val="002A6E48"/>
    <w:rsid w:val="002B0474"/>
    <w:rsid w:val="002B2664"/>
    <w:rsid w:val="002B2AAE"/>
    <w:rsid w:val="002B4012"/>
    <w:rsid w:val="002B463B"/>
    <w:rsid w:val="002B4D1D"/>
    <w:rsid w:val="002B5177"/>
    <w:rsid w:val="002B5C1C"/>
    <w:rsid w:val="002B5E0E"/>
    <w:rsid w:val="002C08C1"/>
    <w:rsid w:val="002C2FBB"/>
    <w:rsid w:val="002C3A30"/>
    <w:rsid w:val="002C5075"/>
    <w:rsid w:val="002C56BE"/>
    <w:rsid w:val="002C61A6"/>
    <w:rsid w:val="002C61C1"/>
    <w:rsid w:val="002C628C"/>
    <w:rsid w:val="002C6972"/>
    <w:rsid w:val="002C7368"/>
    <w:rsid w:val="002C73F9"/>
    <w:rsid w:val="002C7662"/>
    <w:rsid w:val="002C79F5"/>
    <w:rsid w:val="002D03F1"/>
    <w:rsid w:val="002D184B"/>
    <w:rsid w:val="002D1CDE"/>
    <w:rsid w:val="002D3B7C"/>
    <w:rsid w:val="002D513D"/>
    <w:rsid w:val="002D5B99"/>
    <w:rsid w:val="002D64C0"/>
    <w:rsid w:val="002D6934"/>
    <w:rsid w:val="002E07BD"/>
    <w:rsid w:val="002E09DE"/>
    <w:rsid w:val="002E0E82"/>
    <w:rsid w:val="002E1ABB"/>
    <w:rsid w:val="002E1D0E"/>
    <w:rsid w:val="002E2AE5"/>
    <w:rsid w:val="002E3015"/>
    <w:rsid w:val="002E58FE"/>
    <w:rsid w:val="002F3D2B"/>
    <w:rsid w:val="002F52F7"/>
    <w:rsid w:val="002F5A4F"/>
    <w:rsid w:val="002F607B"/>
    <w:rsid w:val="002F6217"/>
    <w:rsid w:val="002F64F1"/>
    <w:rsid w:val="002F719E"/>
    <w:rsid w:val="002F73FF"/>
    <w:rsid w:val="003003DC"/>
    <w:rsid w:val="0030081D"/>
    <w:rsid w:val="003029B6"/>
    <w:rsid w:val="0030583B"/>
    <w:rsid w:val="00305A8E"/>
    <w:rsid w:val="003062AF"/>
    <w:rsid w:val="0030665B"/>
    <w:rsid w:val="0030697D"/>
    <w:rsid w:val="0030698D"/>
    <w:rsid w:val="0030702D"/>
    <w:rsid w:val="0030757B"/>
    <w:rsid w:val="0031033B"/>
    <w:rsid w:val="0031048C"/>
    <w:rsid w:val="0031055B"/>
    <w:rsid w:val="00310BED"/>
    <w:rsid w:val="003114AD"/>
    <w:rsid w:val="003117F0"/>
    <w:rsid w:val="003117F8"/>
    <w:rsid w:val="00311F0F"/>
    <w:rsid w:val="003122FF"/>
    <w:rsid w:val="0031291A"/>
    <w:rsid w:val="00313F4F"/>
    <w:rsid w:val="00314097"/>
    <w:rsid w:val="00314327"/>
    <w:rsid w:val="00314CCB"/>
    <w:rsid w:val="00315450"/>
    <w:rsid w:val="00315DFC"/>
    <w:rsid w:val="003176BF"/>
    <w:rsid w:val="00317C68"/>
    <w:rsid w:val="0032133C"/>
    <w:rsid w:val="00321677"/>
    <w:rsid w:val="00321792"/>
    <w:rsid w:val="003219C2"/>
    <w:rsid w:val="00321FA6"/>
    <w:rsid w:val="0032233D"/>
    <w:rsid w:val="00322D02"/>
    <w:rsid w:val="00322F36"/>
    <w:rsid w:val="0032302B"/>
    <w:rsid w:val="00323042"/>
    <w:rsid w:val="00325008"/>
    <w:rsid w:val="003257CC"/>
    <w:rsid w:val="00325A06"/>
    <w:rsid w:val="00326400"/>
    <w:rsid w:val="0032642C"/>
    <w:rsid w:val="0033001B"/>
    <w:rsid w:val="003305E6"/>
    <w:rsid w:val="0033138B"/>
    <w:rsid w:val="003326DF"/>
    <w:rsid w:val="0033365A"/>
    <w:rsid w:val="00333891"/>
    <w:rsid w:val="00334837"/>
    <w:rsid w:val="00335314"/>
    <w:rsid w:val="00335663"/>
    <w:rsid w:val="003357FA"/>
    <w:rsid w:val="003360DF"/>
    <w:rsid w:val="00336F3E"/>
    <w:rsid w:val="00340C4D"/>
    <w:rsid w:val="00340C78"/>
    <w:rsid w:val="0034142A"/>
    <w:rsid w:val="00342991"/>
    <w:rsid w:val="003430E5"/>
    <w:rsid w:val="0034322D"/>
    <w:rsid w:val="003434D1"/>
    <w:rsid w:val="00345C16"/>
    <w:rsid w:val="00346294"/>
    <w:rsid w:val="00347015"/>
    <w:rsid w:val="003472B6"/>
    <w:rsid w:val="0035065B"/>
    <w:rsid w:val="00351BCD"/>
    <w:rsid w:val="00352A29"/>
    <w:rsid w:val="00352A2F"/>
    <w:rsid w:val="00352B56"/>
    <w:rsid w:val="00352E9D"/>
    <w:rsid w:val="00353D96"/>
    <w:rsid w:val="00354F01"/>
    <w:rsid w:val="003553D7"/>
    <w:rsid w:val="003562CE"/>
    <w:rsid w:val="00356887"/>
    <w:rsid w:val="003573A4"/>
    <w:rsid w:val="00357414"/>
    <w:rsid w:val="003600A2"/>
    <w:rsid w:val="00361684"/>
    <w:rsid w:val="00362DBD"/>
    <w:rsid w:val="00363FB9"/>
    <w:rsid w:val="0036475D"/>
    <w:rsid w:val="00365540"/>
    <w:rsid w:val="00366C64"/>
    <w:rsid w:val="0037100A"/>
    <w:rsid w:val="00372324"/>
    <w:rsid w:val="00372635"/>
    <w:rsid w:val="00374C47"/>
    <w:rsid w:val="00374FDC"/>
    <w:rsid w:val="003764CE"/>
    <w:rsid w:val="0037676A"/>
    <w:rsid w:val="003769E8"/>
    <w:rsid w:val="0037795D"/>
    <w:rsid w:val="00377DEA"/>
    <w:rsid w:val="00380248"/>
    <w:rsid w:val="00381381"/>
    <w:rsid w:val="0038390E"/>
    <w:rsid w:val="00384667"/>
    <w:rsid w:val="00384C2E"/>
    <w:rsid w:val="00385425"/>
    <w:rsid w:val="0038543C"/>
    <w:rsid w:val="00385743"/>
    <w:rsid w:val="00386BB7"/>
    <w:rsid w:val="003874C3"/>
    <w:rsid w:val="00387F2D"/>
    <w:rsid w:val="00390F18"/>
    <w:rsid w:val="00391A9E"/>
    <w:rsid w:val="00392F10"/>
    <w:rsid w:val="00392FF2"/>
    <w:rsid w:val="003939BD"/>
    <w:rsid w:val="00394D72"/>
    <w:rsid w:val="00394F1C"/>
    <w:rsid w:val="003968FB"/>
    <w:rsid w:val="00397F8C"/>
    <w:rsid w:val="003A04B3"/>
    <w:rsid w:val="003A061D"/>
    <w:rsid w:val="003A06A0"/>
    <w:rsid w:val="003A190E"/>
    <w:rsid w:val="003A19A7"/>
    <w:rsid w:val="003A1FBD"/>
    <w:rsid w:val="003A2440"/>
    <w:rsid w:val="003A3BD9"/>
    <w:rsid w:val="003A3F58"/>
    <w:rsid w:val="003A453F"/>
    <w:rsid w:val="003A4BFA"/>
    <w:rsid w:val="003A4EC0"/>
    <w:rsid w:val="003A4F0E"/>
    <w:rsid w:val="003A5573"/>
    <w:rsid w:val="003A5DA8"/>
    <w:rsid w:val="003A7EEA"/>
    <w:rsid w:val="003B04E5"/>
    <w:rsid w:val="003B0C08"/>
    <w:rsid w:val="003B10E1"/>
    <w:rsid w:val="003B1A37"/>
    <w:rsid w:val="003B223C"/>
    <w:rsid w:val="003B2336"/>
    <w:rsid w:val="003B3142"/>
    <w:rsid w:val="003B3931"/>
    <w:rsid w:val="003B5A20"/>
    <w:rsid w:val="003B799A"/>
    <w:rsid w:val="003C05DF"/>
    <w:rsid w:val="003C0DD0"/>
    <w:rsid w:val="003C185A"/>
    <w:rsid w:val="003C4E97"/>
    <w:rsid w:val="003C52D0"/>
    <w:rsid w:val="003C599A"/>
    <w:rsid w:val="003C6C20"/>
    <w:rsid w:val="003C6D24"/>
    <w:rsid w:val="003C70D8"/>
    <w:rsid w:val="003C74AD"/>
    <w:rsid w:val="003C7862"/>
    <w:rsid w:val="003D03A0"/>
    <w:rsid w:val="003D12AD"/>
    <w:rsid w:val="003D28C2"/>
    <w:rsid w:val="003D2AF0"/>
    <w:rsid w:val="003D3DEF"/>
    <w:rsid w:val="003D44FD"/>
    <w:rsid w:val="003D4FE4"/>
    <w:rsid w:val="003D6022"/>
    <w:rsid w:val="003D6A37"/>
    <w:rsid w:val="003D707A"/>
    <w:rsid w:val="003E0B22"/>
    <w:rsid w:val="003E1533"/>
    <w:rsid w:val="003E2025"/>
    <w:rsid w:val="003E2E36"/>
    <w:rsid w:val="003E43DA"/>
    <w:rsid w:val="003E44BE"/>
    <w:rsid w:val="003E4EC7"/>
    <w:rsid w:val="003E789F"/>
    <w:rsid w:val="003F103A"/>
    <w:rsid w:val="003F1568"/>
    <w:rsid w:val="003F1657"/>
    <w:rsid w:val="003F2658"/>
    <w:rsid w:val="003F339C"/>
    <w:rsid w:val="003F3C39"/>
    <w:rsid w:val="003F5876"/>
    <w:rsid w:val="003F6695"/>
    <w:rsid w:val="003F7060"/>
    <w:rsid w:val="003F7CC7"/>
    <w:rsid w:val="004016AA"/>
    <w:rsid w:val="004018E6"/>
    <w:rsid w:val="00402E38"/>
    <w:rsid w:val="00402FA0"/>
    <w:rsid w:val="004030C0"/>
    <w:rsid w:val="00403B05"/>
    <w:rsid w:val="00404266"/>
    <w:rsid w:val="004049D9"/>
    <w:rsid w:val="00404F60"/>
    <w:rsid w:val="00405516"/>
    <w:rsid w:val="004056A5"/>
    <w:rsid w:val="00406127"/>
    <w:rsid w:val="00406161"/>
    <w:rsid w:val="00406284"/>
    <w:rsid w:val="0040634B"/>
    <w:rsid w:val="00407AC5"/>
    <w:rsid w:val="00410A1C"/>
    <w:rsid w:val="0041184A"/>
    <w:rsid w:val="00412C9E"/>
    <w:rsid w:val="00414492"/>
    <w:rsid w:val="00415958"/>
    <w:rsid w:val="00416929"/>
    <w:rsid w:val="00416A32"/>
    <w:rsid w:val="00420E50"/>
    <w:rsid w:val="0042168A"/>
    <w:rsid w:val="004227F8"/>
    <w:rsid w:val="00423400"/>
    <w:rsid w:val="0042353E"/>
    <w:rsid w:val="0042359B"/>
    <w:rsid w:val="00423F08"/>
    <w:rsid w:val="00425397"/>
    <w:rsid w:val="00426E6E"/>
    <w:rsid w:val="004274BB"/>
    <w:rsid w:val="004315BE"/>
    <w:rsid w:val="0043381E"/>
    <w:rsid w:val="00433AEA"/>
    <w:rsid w:val="00434482"/>
    <w:rsid w:val="004344E7"/>
    <w:rsid w:val="004362AC"/>
    <w:rsid w:val="00440368"/>
    <w:rsid w:val="00440650"/>
    <w:rsid w:val="00440A1B"/>
    <w:rsid w:val="004412CB"/>
    <w:rsid w:val="0044259E"/>
    <w:rsid w:val="004433DE"/>
    <w:rsid w:val="004439A4"/>
    <w:rsid w:val="00443F7F"/>
    <w:rsid w:val="004442E9"/>
    <w:rsid w:val="00445947"/>
    <w:rsid w:val="00445C3F"/>
    <w:rsid w:val="00445EFF"/>
    <w:rsid w:val="004467BA"/>
    <w:rsid w:val="00446FCF"/>
    <w:rsid w:val="00447ED7"/>
    <w:rsid w:val="00450B9E"/>
    <w:rsid w:val="00450EDA"/>
    <w:rsid w:val="00450EF2"/>
    <w:rsid w:val="00451A58"/>
    <w:rsid w:val="00451B3D"/>
    <w:rsid w:val="00452F5B"/>
    <w:rsid w:val="00453110"/>
    <w:rsid w:val="004538B6"/>
    <w:rsid w:val="00453FC1"/>
    <w:rsid w:val="00457C40"/>
    <w:rsid w:val="00457E53"/>
    <w:rsid w:val="0046048A"/>
    <w:rsid w:val="00460FC1"/>
    <w:rsid w:val="004617EC"/>
    <w:rsid w:val="004625CA"/>
    <w:rsid w:val="00463D67"/>
    <w:rsid w:val="00465484"/>
    <w:rsid w:val="004663A4"/>
    <w:rsid w:val="00466455"/>
    <w:rsid w:val="004677BD"/>
    <w:rsid w:val="00467F4E"/>
    <w:rsid w:val="0047012D"/>
    <w:rsid w:val="004704F2"/>
    <w:rsid w:val="00470BE2"/>
    <w:rsid w:val="00472B71"/>
    <w:rsid w:val="00473400"/>
    <w:rsid w:val="00473521"/>
    <w:rsid w:val="004737C1"/>
    <w:rsid w:val="00473B0A"/>
    <w:rsid w:val="0047560B"/>
    <w:rsid w:val="00475A24"/>
    <w:rsid w:val="00475E07"/>
    <w:rsid w:val="00477730"/>
    <w:rsid w:val="00477B24"/>
    <w:rsid w:val="00477E59"/>
    <w:rsid w:val="00477F43"/>
    <w:rsid w:val="00480145"/>
    <w:rsid w:val="0048077B"/>
    <w:rsid w:val="004809C7"/>
    <w:rsid w:val="00483333"/>
    <w:rsid w:val="00483418"/>
    <w:rsid w:val="004856B8"/>
    <w:rsid w:val="0048653A"/>
    <w:rsid w:val="00486FD6"/>
    <w:rsid w:val="00487241"/>
    <w:rsid w:val="00487A3A"/>
    <w:rsid w:val="00487A92"/>
    <w:rsid w:val="004903E8"/>
    <w:rsid w:val="00490C6B"/>
    <w:rsid w:val="004910B0"/>
    <w:rsid w:val="004927BB"/>
    <w:rsid w:val="004929DF"/>
    <w:rsid w:val="00492B0E"/>
    <w:rsid w:val="00493D34"/>
    <w:rsid w:val="00493FB4"/>
    <w:rsid w:val="00494046"/>
    <w:rsid w:val="0049437C"/>
    <w:rsid w:val="00495840"/>
    <w:rsid w:val="004971B0"/>
    <w:rsid w:val="0049791D"/>
    <w:rsid w:val="00497A7A"/>
    <w:rsid w:val="00497EFB"/>
    <w:rsid w:val="004A071E"/>
    <w:rsid w:val="004A2408"/>
    <w:rsid w:val="004A26B7"/>
    <w:rsid w:val="004A2B0C"/>
    <w:rsid w:val="004A2B5C"/>
    <w:rsid w:val="004A2B81"/>
    <w:rsid w:val="004A2D03"/>
    <w:rsid w:val="004A2E6C"/>
    <w:rsid w:val="004A31C4"/>
    <w:rsid w:val="004A34D9"/>
    <w:rsid w:val="004A3625"/>
    <w:rsid w:val="004A3F0F"/>
    <w:rsid w:val="004A4AB6"/>
    <w:rsid w:val="004A4BEF"/>
    <w:rsid w:val="004A4D59"/>
    <w:rsid w:val="004A6124"/>
    <w:rsid w:val="004A6564"/>
    <w:rsid w:val="004A6B13"/>
    <w:rsid w:val="004A6B17"/>
    <w:rsid w:val="004A71C7"/>
    <w:rsid w:val="004A7865"/>
    <w:rsid w:val="004B03A1"/>
    <w:rsid w:val="004B052E"/>
    <w:rsid w:val="004B0830"/>
    <w:rsid w:val="004B0B82"/>
    <w:rsid w:val="004B170E"/>
    <w:rsid w:val="004B3B86"/>
    <w:rsid w:val="004B44B7"/>
    <w:rsid w:val="004B5166"/>
    <w:rsid w:val="004B59A9"/>
    <w:rsid w:val="004B5F9B"/>
    <w:rsid w:val="004B7F90"/>
    <w:rsid w:val="004C0182"/>
    <w:rsid w:val="004C06E4"/>
    <w:rsid w:val="004C1F55"/>
    <w:rsid w:val="004C2FE0"/>
    <w:rsid w:val="004C50D8"/>
    <w:rsid w:val="004C5136"/>
    <w:rsid w:val="004C5AB0"/>
    <w:rsid w:val="004C7F1A"/>
    <w:rsid w:val="004D101D"/>
    <w:rsid w:val="004D1725"/>
    <w:rsid w:val="004D29A8"/>
    <w:rsid w:val="004D2DB4"/>
    <w:rsid w:val="004D39E2"/>
    <w:rsid w:val="004D3A40"/>
    <w:rsid w:val="004D51A7"/>
    <w:rsid w:val="004D5C6F"/>
    <w:rsid w:val="004D5F7C"/>
    <w:rsid w:val="004D61FB"/>
    <w:rsid w:val="004D630F"/>
    <w:rsid w:val="004D795F"/>
    <w:rsid w:val="004E01AB"/>
    <w:rsid w:val="004E05E8"/>
    <w:rsid w:val="004E1534"/>
    <w:rsid w:val="004E1ED6"/>
    <w:rsid w:val="004E2CE2"/>
    <w:rsid w:val="004E31CD"/>
    <w:rsid w:val="004E3221"/>
    <w:rsid w:val="004E3EE5"/>
    <w:rsid w:val="004E489E"/>
    <w:rsid w:val="004E50EA"/>
    <w:rsid w:val="004E5829"/>
    <w:rsid w:val="004E6302"/>
    <w:rsid w:val="004F14D0"/>
    <w:rsid w:val="004F2465"/>
    <w:rsid w:val="004F2861"/>
    <w:rsid w:val="004F4056"/>
    <w:rsid w:val="004F45CD"/>
    <w:rsid w:val="004F54B5"/>
    <w:rsid w:val="004F702B"/>
    <w:rsid w:val="00502D22"/>
    <w:rsid w:val="005033E0"/>
    <w:rsid w:val="00503D96"/>
    <w:rsid w:val="0050405D"/>
    <w:rsid w:val="0050417D"/>
    <w:rsid w:val="00506FE7"/>
    <w:rsid w:val="00511975"/>
    <w:rsid w:val="005129F4"/>
    <w:rsid w:val="00512BB8"/>
    <w:rsid w:val="00514C11"/>
    <w:rsid w:val="005155DD"/>
    <w:rsid w:val="00515AD2"/>
    <w:rsid w:val="00516CA7"/>
    <w:rsid w:val="005174ED"/>
    <w:rsid w:val="00517D80"/>
    <w:rsid w:val="0052156B"/>
    <w:rsid w:val="005237A0"/>
    <w:rsid w:val="00523D5F"/>
    <w:rsid w:val="00524018"/>
    <w:rsid w:val="00525266"/>
    <w:rsid w:val="00525298"/>
    <w:rsid w:val="00525697"/>
    <w:rsid w:val="00533CDD"/>
    <w:rsid w:val="005344A2"/>
    <w:rsid w:val="005344AB"/>
    <w:rsid w:val="00534709"/>
    <w:rsid w:val="00534F74"/>
    <w:rsid w:val="00535694"/>
    <w:rsid w:val="00535804"/>
    <w:rsid w:val="00535A91"/>
    <w:rsid w:val="00536293"/>
    <w:rsid w:val="00536746"/>
    <w:rsid w:val="00536C24"/>
    <w:rsid w:val="00536E6C"/>
    <w:rsid w:val="00540F7F"/>
    <w:rsid w:val="00541CF0"/>
    <w:rsid w:val="005424F7"/>
    <w:rsid w:val="00543046"/>
    <w:rsid w:val="00546C12"/>
    <w:rsid w:val="005472C9"/>
    <w:rsid w:val="00550276"/>
    <w:rsid w:val="00550A2E"/>
    <w:rsid w:val="00552756"/>
    <w:rsid w:val="005538AF"/>
    <w:rsid w:val="00554889"/>
    <w:rsid w:val="00554BCD"/>
    <w:rsid w:val="0055540D"/>
    <w:rsid w:val="0055616B"/>
    <w:rsid w:val="005567B5"/>
    <w:rsid w:val="00556B0C"/>
    <w:rsid w:val="00561FC3"/>
    <w:rsid w:val="00562324"/>
    <w:rsid w:val="0056452B"/>
    <w:rsid w:val="005647FA"/>
    <w:rsid w:val="00564F28"/>
    <w:rsid w:val="0056559B"/>
    <w:rsid w:val="00565948"/>
    <w:rsid w:val="00566056"/>
    <w:rsid w:val="005670F0"/>
    <w:rsid w:val="00572E08"/>
    <w:rsid w:val="00573121"/>
    <w:rsid w:val="00573427"/>
    <w:rsid w:val="005736D1"/>
    <w:rsid w:val="0057426D"/>
    <w:rsid w:val="005762A3"/>
    <w:rsid w:val="00583767"/>
    <w:rsid w:val="00583E5B"/>
    <w:rsid w:val="00584832"/>
    <w:rsid w:val="00584F54"/>
    <w:rsid w:val="00585C73"/>
    <w:rsid w:val="00585FCC"/>
    <w:rsid w:val="00587AA5"/>
    <w:rsid w:val="00587D23"/>
    <w:rsid w:val="00590F79"/>
    <w:rsid w:val="005918E6"/>
    <w:rsid w:val="00592C87"/>
    <w:rsid w:val="00592D91"/>
    <w:rsid w:val="00593397"/>
    <w:rsid w:val="0059538E"/>
    <w:rsid w:val="00597754"/>
    <w:rsid w:val="005A0F89"/>
    <w:rsid w:val="005A104F"/>
    <w:rsid w:val="005A1133"/>
    <w:rsid w:val="005A1B2B"/>
    <w:rsid w:val="005A3A65"/>
    <w:rsid w:val="005A3CD3"/>
    <w:rsid w:val="005A4603"/>
    <w:rsid w:val="005A4850"/>
    <w:rsid w:val="005A568E"/>
    <w:rsid w:val="005A5B50"/>
    <w:rsid w:val="005A669F"/>
    <w:rsid w:val="005A6AD5"/>
    <w:rsid w:val="005A6C00"/>
    <w:rsid w:val="005A704F"/>
    <w:rsid w:val="005A7142"/>
    <w:rsid w:val="005B1A16"/>
    <w:rsid w:val="005B1F0F"/>
    <w:rsid w:val="005B2907"/>
    <w:rsid w:val="005B302B"/>
    <w:rsid w:val="005B3189"/>
    <w:rsid w:val="005B50A5"/>
    <w:rsid w:val="005B5B72"/>
    <w:rsid w:val="005B7431"/>
    <w:rsid w:val="005B7ACB"/>
    <w:rsid w:val="005C061E"/>
    <w:rsid w:val="005C0D0B"/>
    <w:rsid w:val="005C0ED8"/>
    <w:rsid w:val="005C1129"/>
    <w:rsid w:val="005C1C18"/>
    <w:rsid w:val="005C2298"/>
    <w:rsid w:val="005C303E"/>
    <w:rsid w:val="005C394F"/>
    <w:rsid w:val="005C3F2A"/>
    <w:rsid w:val="005C4286"/>
    <w:rsid w:val="005C58DB"/>
    <w:rsid w:val="005C7DF7"/>
    <w:rsid w:val="005D081A"/>
    <w:rsid w:val="005D2880"/>
    <w:rsid w:val="005D3119"/>
    <w:rsid w:val="005D31AA"/>
    <w:rsid w:val="005D31EF"/>
    <w:rsid w:val="005D3DCB"/>
    <w:rsid w:val="005D53E6"/>
    <w:rsid w:val="005D59E8"/>
    <w:rsid w:val="005D5CEA"/>
    <w:rsid w:val="005D6BF5"/>
    <w:rsid w:val="005D7009"/>
    <w:rsid w:val="005D70B4"/>
    <w:rsid w:val="005E0AFA"/>
    <w:rsid w:val="005E1309"/>
    <w:rsid w:val="005E17CE"/>
    <w:rsid w:val="005E1935"/>
    <w:rsid w:val="005E1BD0"/>
    <w:rsid w:val="005E1BDE"/>
    <w:rsid w:val="005E3B02"/>
    <w:rsid w:val="005E470F"/>
    <w:rsid w:val="005E4E2F"/>
    <w:rsid w:val="005E4E8A"/>
    <w:rsid w:val="005E52A5"/>
    <w:rsid w:val="005E52AF"/>
    <w:rsid w:val="005E5423"/>
    <w:rsid w:val="005E57F9"/>
    <w:rsid w:val="005E7EDD"/>
    <w:rsid w:val="005F0679"/>
    <w:rsid w:val="005F0682"/>
    <w:rsid w:val="005F0AC2"/>
    <w:rsid w:val="005F0CEC"/>
    <w:rsid w:val="005F13EC"/>
    <w:rsid w:val="005F14DF"/>
    <w:rsid w:val="005F23F1"/>
    <w:rsid w:val="005F2CD7"/>
    <w:rsid w:val="005F3159"/>
    <w:rsid w:val="005F33ED"/>
    <w:rsid w:val="005F56CA"/>
    <w:rsid w:val="005F5F6F"/>
    <w:rsid w:val="005F73C8"/>
    <w:rsid w:val="005F7C93"/>
    <w:rsid w:val="0060036C"/>
    <w:rsid w:val="00600F2E"/>
    <w:rsid w:val="00601C67"/>
    <w:rsid w:val="006025A2"/>
    <w:rsid w:val="00602E75"/>
    <w:rsid w:val="0060353C"/>
    <w:rsid w:val="00603C41"/>
    <w:rsid w:val="0060416E"/>
    <w:rsid w:val="006068C4"/>
    <w:rsid w:val="00607EAD"/>
    <w:rsid w:val="00611896"/>
    <w:rsid w:val="0061233B"/>
    <w:rsid w:val="00614A34"/>
    <w:rsid w:val="00614F80"/>
    <w:rsid w:val="0061530B"/>
    <w:rsid w:val="00615347"/>
    <w:rsid w:val="0061566A"/>
    <w:rsid w:val="00616870"/>
    <w:rsid w:val="00617CF4"/>
    <w:rsid w:val="00621BCF"/>
    <w:rsid w:val="00622197"/>
    <w:rsid w:val="00622663"/>
    <w:rsid w:val="00622873"/>
    <w:rsid w:val="00624868"/>
    <w:rsid w:val="00626123"/>
    <w:rsid w:val="00626CEF"/>
    <w:rsid w:val="00630347"/>
    <w:rsid w:val="0063052E"/>
    <w:rsid w:val="00630912"/>
    <w:rsid w:val="00632C9F"/>
    <w:rsid w:val="00633BA3"/>
    <w:rsid w:val="00633EB8"/>
    <w:rsid w:val="00635D01"/>
    <w:rsid w:val="00635D70"/>
    <w:rsid w:val="00635EBC"/>
    <w:rsid w:val="00636159"/>
    <w:rsid w:val="0063706C"/>
    <w:rsid w:val="006370E9"/>
    <w:rsid w:val="006416EC"/>
    <w:rsid w:val="006435F8"/>
    <w:rsid w:val="00643B31"/>
    <w:rsid w:val="00644740"/>
    <w:rsid w:val="00644CF6"/>
    <w:rsid w:val="00645C11"/>
    <w:rsid w:val="00645EDA"/>
    <w:rsid w:val="0064645D"/>
    <w:rsid w:val="00647670"/>
    <w:rsid w:val="00650C28"/>
    <w:rsid w:val="00650F54"/>
    <w:rsid w:val="0065269D"/>
    <w:rsid w:val="006546D8"/>
    <w:rsid w:val="00654E5B"/>
    <w:rsid w:val="00656077"/>
    <w:rsid w:val="00656847"/>
    <w:rsid w:val="00656DDE"/>
    <w:rsid w:val="00657576"/>
    <w:rsid w:val="00657898"/>
    <w:rsid w:val="006603B3"/>
    <w:rsid w:val="00660B43"/>
    <w:rsid w:val="00660FF1"/>
    <w:rsid w:val="006611AA"/>
    <w:rsid w:val="006629F7"/>
    <w:rsid w:val="00662CB8"/>
    <w:rsid w:val="00663217"/>
    <w:rsid w:val="0066399B"/>
    <w:rsid w:val="00663E6A"/>
    <w:rsid w:val="00663EE1"/>
    <w:rsid w:val="006647DE"/>
    <w:rsid w:val="006659CB"/>
    <w:rsid w:val="00666043"/>
    <w:rsid w:val="00666DF0"/>
    <w:rsid w:val="00666E42"/>
    <w:rsid w:val="00667DE7"/>
    <w:rsid w:val="00672420"/>
    <w:rsid w:val="006725A2"/>
    <w:rsid w:val="00673401"/>
    <w:rsid w:val="00673408"/>
    <w:rsid w:val="00673DB2"/>
    <w:rsid w:val="00673FFF"/>
    <w:rsid w:val="006743B1"/>
    <w:rsid w:val="00674522"/>
    <w:rsid w:val="006747BD"/>
    <w:rsid w:val="006749AF"/>
    <w:rsid w:val="00675068"/>
    <w:rsid w:val="006752A1"/>
    <w:rsid w:val="00677474"/>
    <w:rsid w:val="00677562"/>
    <w:rsid w:val="00677979"/>
    <w:rsid w:val="00681F93"/>
    <w:rsid w:val="006826CC"/>
    <w:rsid w:val="00682EA0"/>
    <w:rsid w:val="00683040"/>
    <w:rsid w:val="0068369E"/>
    <w:rsid w:val="006839C4"/>
    <w:rsid w:val="006847BB"/>
    <w:rsid w:val="0068712F"/>
    <w:rsid w:val="00691094"/>
    <w:rsid w:val="006913A2"/>
    <w:rsid w:val="006913C0"/>
    <w:rsid w:val="0069312F"/>
    <w:rsid w:val="006954E2"/>
    <w:rsid w:val="00695E2E"/>
    <w:rsid w:val="0069603A"/>
    <w:rsid w:val="006966E9"/>
    <w:rsid w:val="00697802"/>
    <w:rsid w:val="00697ABF"/>
    <w:rsid w:val="006A1D67"/>
    <w:rsid w:val="006A34FB"/>
    <w:rsid w:val="006A3986"/>
    <w:rsid w:val="006A39A8"/>
    <w:rsid w:val="006A447C"/>
    <w:rsid w:val="006A4D1A"/>
    <w:rsid w:val="006A5BF2"/>
    <w:rsid w:val="006A7BBC"/>
    <w:rsid w:val="006B1275"/>
    <w:rsid w:val="006B1AB2"/>
    <w:rsid w:val="006B1C9E"/>
    <w:rsid w:val="006B1EFA"/>
    <w:rsid w:val="006B2158"/>
    <w:rsid w:val="006B2CCC"/>
    <w:rsid w:val="006B32FF"/>
    <w:rsid w:val="006B42CD"/>
    <w:rsid w:val="006B4B15"/>
    <w:rsid w:val="006B71C3"/>
    <w:rsid w:val="006B75AC"/>
    <w:rsid w:val="006B79F3"/>
    <w:rsid w:val="006B7FBA"/>
    <w:rsid w:val="006C0033"/>
    <w:rsid w:val="006C02D1"/>
    <w:rsid w:val="006C1ADF"/>
    <w:rsid w:val="006C1EED"/>
    <w:rsid w:val="006C21D0"/>
    <w:rsid w:val="006C22E5"/>
    <w:rsid w:val="006C51BC"/>
    <w:rsid w:val="006C6532"/>
    <w:rsid w:val="006C653E"/>
    <w:rsid w:val="006C65D8"/>
    <w:rsid w:val="006C6AB2"/>
    <w:rsid w:val="006D0061"/>
    <w:rsid w:val="006D0488"/>
    <w:rsid w:val="006D231A"/>
    <w:rsid w:val="006D24B0"/>
    <w:rsid w:val="006D331D"/>
    <w:rsid w:val="006D371C"/>
    <w:rsid w:val="006D4C07"/>
    <w:rsid w:val="006D542C"/>
    <w:rsid w:val="006D553E"/>
    <w:rsid w:val="006D5D93"/>
    <w:rsid w:val="006D746C"/>
    <w:rsid w:val="006D7A89"/>
    <w:rsid w:val="006D7FC8"/>
    <w:rsid w:val="006E0539"/>
    <w:rsid w:val="006E162F"/>
    <w:rsid w:val="006E21A0"/>
    <w:rsid w:val="006E2CED"/>
    <w:rsid w:val="006E307E"/>
    <w:rsid w:val="006E49BF"/>
    <w:rsid w:val="006E4AE1"/>
    <w:rsid w:val="006E4C45"/>
    <w:rsid w:val="006E534A"/>
    <w:rsid w:val="006E5EB9"/>
    <w:rsid w:val="006E7943"/>
    <w:rsid w:val="006F16CF"/>
    <w:rsid w:val="006F29B0"/>
    <w:rsid w:val="006F2A72"/>
    <w:rsid w:val="006F2E53"/>
    <w:rsid w:val="006F30F1"/>
    <w:rsid w:val="006F3849"/>
    <w:rsid w:val="006F3E3E"/>
    <w:rsid w:val="006F56F3"/>
    <w:rsid w:val="006F5E6A"/>
    <w:rsid w:val="006F7F12"/>
    <w:rsid w:val="00700ACE"/>
    <w:rsid w:val="0070158F"/>
    <w:rsid w:val="007033BD"/>
    <w:rsid w:val="00705713"/>
    <w:rsid w:val="00705B7C"/>
    <w:rsid w:val="007064A8"/>
    <w:rsid w:val="007070BC"/>
    <w:rsid w:val="00707CD2"/>
    <w:rsid w:val="007119B8"/>
    <w:rsid w:val="00712141"/>
    <w:rsid w:val="007122C4"/>
    <w:rsid w:val="00714287"/>
    <w:rsid w:val="00714E64"/>
    <w:rsid w:val="00715BD6"/>
    <w:rsid w:val="007161EB"/>
    <w:rsid w:val="00716779"/>
    <w:rsid w:val="0071698B"/>
    <w:rsid w:val="00720CCC"/>
    <w:rsid w:val="00720FFF"/>
    <w:rsid w:val="007211D8"/>
    <w:rsid w:val="00721377"/>
    <w:rsid w:val="00721A07"/>
    <w:rsid w:val="00722086"/>
    <w:rsid w:val="00722B5D"/>
    <w:rsid w:val="00723F75"/>
    <w:rsid w:val="007246E0"/>
    <w:rsid w:val="00725569"/>
    <w:rsid w:val="007269E1"/>
    <w:rsid w:val="00726AD9"/>
    <w:rsid w:val="007274DA"/>
    <w:rsid w:val="00727847"/>
    <w:rsid w:val="00730BBA"/>
    <w:rsid w:val="00731D1F"/>
    <w:rsid w:val="007321ED"/>
    <w:rsid w:val="007323EE"/>
    <w:rsid w:val="0073240A"/>
    <w:rsid w:val="00732A63"/>
    <w:rsid w:val="00733DA6"/>
    <w:rsid w:val="00734ED4"/>
    <w:rsid w:val="00736328"/>
    <w:rsid w:val="00736612"/>
    <w:rsid w:val="00736E1A"/>
    <w:rsid w:val="007374FD"/>
    <w:rsid w:val="0074146A"/>
    <w:rsid w:val="00741C44"/>
    <w:rsid w:val="007423C9"/>
    <w:rsid w:val="007429F3"/>
    <w:rsid w:val="00743A70"/>
    <w:rsid w:val="0074665F"/>
    <w:rsid w:val="00746A72"/>
    <w:rsid w:val="0074789D"/>
    <w:rsid w:val="00747F32"/>
    <w:rsid w:val="00747FF6"/>
    <w:rsid w:val="007512DA"/>
    <w:rsid w:val="00751602"/>
    <w:rsid w:val="007543C8"/>
    <w:rsid w:val="00756209"/>
    <w:rsid w:val="00756ADD"/>
    <w:rsid w:val="00756E8A"/>
    <w:rsid w:val="00757DE9"/>
    <w:rsid w:val="00761873"/>
    <w:rsid w:val="0076291B"/>
    <w:rsid w:val="00762A09"/>
    <w:rsid w:val="007633DF"/>
    <w:rsid w:val="00764EBE"/>
    <w:rsid w:val="00764F1B"/>
    <w:rsid w:val="00765323"/>
    <w:rsid w:val="007661D0"/>
    <w:rsid w:val="00767566"/>
    <w:rsid w:val="00770065"/>
    <w:rsid w:val="00770B0C"/>
    <w:rsid w:val="00770C87"/>
    <w:rsid w:val="007713DB"/>
    <w:rsid w:val="00771A89"/>
    <w:rsid w:val="00771C07"/>
    <w:rsid w:val="00772921"/>
    <w:rsid w:val="0077298C"/>
    <w:rsid w:val="00774420"/>
    <w:rsid w:val="007744A2"/>
    <w:rsid w:val="00774F2A"/>
    <w:rsid w:val="00775CEC"/>
    <w:rsid w:val="007761E6"/>
    <w:rsid w:val="007764B7"/>
    <w:rsid w:val="00776F60"/>
    <w:rsid w:val="00777B34"/>
    <w:rsid w:val="007805B8"/>
    <w:rsid w:val="00780B99"/>
    <w:rsid w:val="007812A2"/>
    <w:rsid w:val="007816B9"/>
    <w:rsid w:val="00781AA0"/>
    <w:rsid w:val="00782EB5"/>
    <w:rsid w:val="007830DF"/>
    <w:rsid w:val="0078322A"/>
    <w:rsid w:val="00783BC4"/>
    <w:rsid w:val="00783D39"/>
    <w:rsid w:val="00783FA3"/>
    <w:rsid w:val="007846E4"/>
    <w:rsid w:val="00784DEA"/>
    <w:rsid w:val="00785685"/>
    <w:rsid w:val="0078594D"/>
    <w:rsid w:val="007867A3"/>
    <w:rsid w:val="00787787"/>
    <w:rsid w:val="00787C67"/>
    <w:rsid w:val="00787F4B"/>
    <w:rsid w:val="00790535"/>
    <w:rsid w:val="00791BA8"/>
    <w:rsid w:val="007939EF"/>
    <w:rsid w:val="00793ED0"/>
    <w:rsid w:val="0079574A"/>
    <w:rsid w:val="00795DA0"/>
    <w:rsid w:val="00796B6A"/>
    <w:rsid w:val="00797F37"/>
    <w:rsid w:val="007A00F0"/>
    <w:rsid w:val="007A05B1"/>
    <w:rsid w:val="007A0622"/>
    <w:rsid w:val="007A071A"/>
    <w:rsid w:val="007A1793"/>
    <w:rsid w:val="007A1A7E"/>
    <w:rsid w:val="007A228E"/>
    <w:rsid w:val="007A2CB6"/>
    <w:rsid w:val="007A501F"/>
    <w:rsid w:val="007A7240"/>
    <w:rsid w:val="007A73C1"/>
    <w:rsid w:val="007B030A"/>
    <w:rsid w:val="007B1BDC"/>
    <w:rsid w:val="007B1E4F"/>
    <w:rsid w:val="007B2AD9"/>
    <w:rsid w:val="007B3F1E"/>
    <w:rsid w:val="007B5A0F"/>
    <w:rsid w:val="007B670E"/>
    <w:rsid w:val="007B6779"/>
    <w:rsid w:val="007B6937"/>
    <w:rsid w:val="007B76ED"/>
    <w:rsid w:val="007C067A"/>
    <w:rsid w:val="007C0E27"/>
    <w:rsid w:val="007C0E28"/>
    <w:rsid w:val="007C1BD8"/>
    <w:rsid w:val="007C1E87"/>
    <w:rsid w:val="007C28E2"/>
    <w:rsid w:val="007C30BC"/>
    <w:rsid w:val="007C59B1"/>
    <w:rsid w:val="007C61EC"/>
    <w:rsid w:val="007C67A6"/>
    <w:rsid w:val="007C6A8B"/>
    <w:rsid w:val="007C796C"/>
    <w:rsid w:val="007C7C22"/>
    <w:rsid w:val="007C7C78"/>
    <w:rsid w:val="007D0432"/>
    <w:rsid w:val="007D0D4B"/>
    <w:rsid w:val="007D155D"/>
    <w:rsid w:val="007D280E"/>
    <w:rsid w:val="007D3A6C"/>
    <w:rsid w:val="007D588F"/>
    <w:rsid w:val="007D5AE6"/>
    <w:rsid w:val="007D6462"/>
    <w:rsid w:val="007D67B9"/>
    <w:rsid w:val="007D6E88"/>
    <w:rsid w:val="007D7605"/>
    <w:rsid w:val="007D7FFC"/>
    <w:rsid w:val="007E0FBE"/>
    <w:rsid w:val="007E3534"/>
    <w:rsid w:val="007E43A2"/>
    <w:rsid w:val="007E4755"/>
    <w:rsid w:val="007E4852"/>
    <w:rsid w:val="007E5695"/>
    <w:rsid w:val="007E61F4"/>
    <w:rsid w:val="007E6A54"/>
    <w:rsid w:val="007E7173"/>
    <w:rsid w:val="007F0A19"/>
    <w:rsid w:val="007F2904"/>
    <w:rsid w:val="007F2958"/>
    <w:rsid w:val="007F4395"/>
    <w:rsid w:val="007F4664"/>
    <w:rsid w:val="007F4AF8"/>
    <w:rsid w:val="007F5476"/>
    <w:rsid w:val="007F562C"/>
    <w:rsid w:val="007F57AB"/>
    <w:rsid w:val="007F5E91"/>
    <w:rsid w:val="007F5FBA"/>
    <w:rsid w:val="007F66FE"/>
    <w:rsid w:val="007F78B5"/>
    <w:rsid w:val="007F78F6"/>
    <w:rsid w:val="00801CDC"/>
    <w:rsid w:val="008034D7"/>
    <w:rsid w:val="0080366D"/>
    <w:rsid w:val="00804404"/>
    <w:rsid w:val="00804407"/>
    <w:rsid w:val="00804B86"/>
    <w:rsid w:val="0080556F"/>
    <w:rsid w:val="00805FBB"/>
    <w:rsid w:val="0080606C"/>
    <w:rsid w:val="008061DD"/>
    <w:rsid w:val="008067D6"/>
    <w:rsid w:val="00806ACA"/>
    <w:rsid w:val="00807680"/>
    <w:rsid w:val="00807A41"/>
    <w:rsid w:val="00807FF3"/>
    <w:rsid w:val="00811BED"/>
    <w:rsid w:val="00811FA6"/>
    <w:rsid w:val="00812F32"/>
    <w:rsid w:val="008130DE"/>
    <w:rsid w:val="00814606"/>
    <w:rsid w:val="008146C9"/>
    <w:rsid w:val="0081479F"/>
    <w:rsid w:val="00816BD4"/>
    <w:rsid w:val="0081709A"/>
    <w:rsid w:val="008219E3"/>
    <w:rsid w:val="00822293"/>
    <w:rsid w:val="00822961"/>
    <w:rsid w:val="00822FB0"/>
    <w:rsid w:val="00824A1A"/>
    <w:rsid w:val="00824AFF"/>
    <w:rsid w:val="00824CAC"/>
    <w:rsid w:val="00824D4B"/>
    <w:rsid w:val="00824D5B"/>
    <w:rsid w:val="00825E97"/>
    <w:rsid w:val="00825FC6"/>
    <w:rsid w:val="008276C3"/>
    <w:rsid w:val="00827C37"/>
    <w:rsid w:val="00830956"/>
    <w:rsid w:val="00830AA0"/>
    <w:rsid w:val="00831CEF"/>
    <w:rsid w:val="00832DF0"/>
    <w:rsid w:val="00833813"/>
    <w:rsid w:val="00833F8E"/>
    <w:rsid w:val="0083525A"/>
    <w:rsid w:val="0083671D"/>
    <w:rsid w:val="00836B35"/>
    <w:rsid w:val="008408B3"/>
    <w:rsid w:val="00840A0B"/>
    <w:rsid w:val="0084235E"/>
    <w:rsid w:val="008429E4"/>
    <w:rsid w:val="008434BC"/>
    <w:rsid w:val="00843B8B"/>
    <w:rsid w:val="008441F9"/>
    <w:rsid w:val="0084667E"/>
    <w:rsid w:val="008500D7"/>
    <w:rsid w:val="008508A3"/>
    <w:rsid w:val="008516E2"/>
    <w:rsid w:val="00852BBB"/>
    <w:rsid w:val="0085371E"/>
    <w:rsid w:val="008537E2"/>
    <w:rsid w:val="00854390"/>
    <w:rsid w:val="0085595B"/>
    <w:rsid w:val="00855A95"/>
    <w:rsid w:val="00856BAA"/>
    <w:rsid w:val="0085771E"/>
    <w:rsid w:val="008578FC"/>
    <w:rsid w:val="00860246"/>
    <w:rsid w:val="0086073F"/>
    <w:rsid w:val="008619E1"/>
    <w:rsid w:val="00862049"/>
    <w:rsid w:val="00862547"/>
    <w:rsid w:val="00862E7F"/>
    <w:rsid w:val="00863B70"/>
    <w:rsid w:val="00864033"/>
    <w:rsid w:val="00864931"/>
    <w:rsid w:val="00864DC8"/>
    <w:rsid w:val="008657B4"/>
    <w:rsid w:val="00867133"/>
    <w:rsid w:val="008678A8"/>
    <w:rsid w:val="00867B51"/>
    <w:rsid w:val="00870BF3"/>
    <w:rsid w:val="008710D5"/>
    <w:rsid w:val="00873CEB"/>
    <w:rsid w:val="0087477D"/>
    <w:rsid w:val="008749FB"/>
    <w:rsid w:val="00874CB1"/>
    <w:rsid w:val="0087500E"/>
    <w:rsid w:val="00875BDF"/>
    <w:rsid w:val="0088135D"/>
    <w:rsid w:val="008820A3"/>
    <w:rsid w:val="0088228C"/>
    <w:rsid w:val="00882F11"/>
    <w:rsid w:val="008832F4"/>
    <w:rsid w:val="00884BE8"/>
    <w:rsid w:val="0088799F"/>
    <w:rsid w:val="00887A60"/>
    <w:rsid w:val="00890F63"/>
    <w:rsid w:val="0089110A"/>
    <w:rsid w:val="008913F0"/>
    <w:rsid w:val="008914F0"/>
    <w:rsid w:val="0089301D"/>
    <w:rsid w:val="008934C6"/>
    <w:rsid w:val="008956A5"/>
    <w:rsid w:val="00895CD3"/>
    <w:rsid w:val="008969E1"/>
    <w:rsid w:val="008975B4"/>
    <w:rsid w:val="008975C0"/>
    <w:rsid w:val="0089785B"/>
    <w:rsid w:val="008A1985"/>
    <w:rsid w:val="008A1F77"/>
    <w:rsid w:val="008A1F8D"/>
    <w:rsid w:val="008A21F6"/>
    <w:rsid w:val="008A35AB"/>
    <w:rsid w:val="008A49B6"/>
    <w:rsid w:val="008A4F4B"/>
    <w:rsid w:val="008A569C"/>
    <w:rsid w:val="008A6356"/>
    <w:rsid w:val="008A7322"/>
    <w:rsid w:val="008A7978"/>
    <w:rsid w:val="008B070D"/>
    <w:rsid w:val="008B0C14"/>
    <w:rsid w:val="008B0CE7"/>
    <w:rsid w:val="008B3B11"/>
    <w:rsid w:val="008B480B"/>
    <w:rsid w:val="008B5479"/>
    <w:rsid w:val="008B58A7"/>
    <w:rsid w:val="008B6282"/>
    <w:rsid w:val="008B6871"/>
    <w:rsid w:val="008B6BF5"/>
    <w:rsid w:val="008C035B"/>
    <w:rsid w:val="008C0B0B"/>
    <w:rsid w:val="008C0D76"/>
    <w:rsid w:val="008C1239"/>
    <w:rsid w:val="008C1B8E"/>
    <w:rsid w:val="008C250F"/>
    <w:rsid w:val="008C2CCC"/>
    <w:rsid w:val="008C3A89"/>
    <w:rsid w:val="008C3B4E"/>
    <w:rsid w:val="008C47E1"/>
    <w:rsid w:val="008C4B2D"/>
    <w:rsid w:val="008C4DA4"/>
    <w:rsid w:val="008C6B21"/>
    <w:rsid w:val="008C7D7C"/>
    <w:rsid w:val="008D01FF"/>
    <w:rsid w:val="008D0291"/>
    <w:rsid w:val="008D0C8C"/>
    <w:rsid w:val="008D0CCF"/>
    <w:rsid w:val="008D16E0"/>
    <w:rsid w:val="008D2FBF"/>
    <w:rsid w:val="008D425B"/>
    <w:rsid w:val="008D4DC8"/>
    <w:rsid w:val="008D5EE9"/>
    <w:rsid w:val="008D5F91"/>
    <w:rsid w:val="008D771D"/>
    <w:rsid w:val="008E017E"/>
    <w:rsid w:val="008E0812"/>
    <w:rsid w:val="008E21A9"/>
    <w:rsid w:val="008E2EF5"/>
    <w:rsid w:val="008E3096"/>
    <w:rsid w:val="008E4842"/>
    <w:rsid w:val="008E4BB0"/>
    <w:rsid w:val="008E52FF"/>
    <w:rsid w:val="008E69CF"/>
    <w:rsid w:val="008E6A95"/>
    <w:rsid w:val="008E72DD"/>
    <w:rsid w:val="008E741D"/>
    <w:rsid w:val="008E7E7F"/>
    <w:rsid w:val="008F0026"/>
    <w:rsid w:val="008F052D"/>
    <w:rsid w:val="008F0BB9"/>
    <w:rsid w:val="008F160E"/>
    <w:rsid w:val="008F24AE"/>
    <w:rsid w:val="008F2549"/>
    <w:rsid w:val="008F2FA7"/>
    <w:rsid w:val="008F4234"/>
    <w:rsid w:val="008F528C"/>
    <w:rsid w:val="008F54BA"/>
    <w:rsid w:val="008F59F3"/>
    <w:rsid w:val="008F6178"/>
    <w:rsid w:val="008F640A"/>
    <w:rsid w:val="008F6BE0"/>
    <w:rsid w:val="008F7F87"/>
    <w:rsid w:val="00900791"/>
    <w:rsid w:val="00901A8A"/>
    <w:rsid w:val="00902644"/>
    <w:rsid w:val="00902F9C"/>
    <w:rsid w:val="0090327D"/>
    <w:rsid w:val="00903280"/>
    <w:rsid w:val="00903973"/>
    <w:rsid w:val="009044CA"/>
    <w:rsid w:val="009044F2"/>
    <w:rsid w:val="009046DF"/>
    <w:rsid w:val="009060AB"/>
    <w:rsid w:val="0090653F"/>
    <w:rsid w:val="00910E70"/>
    <w:rsid w:val="00911193"/>
    <w:rsid w:val="00912BF1"/>
    <w:rsid w:val="009134AD"/>
    <w:rsid w:val="00913710"/>
    <w:rsid w:val="00913BC7"/>
    <w:rsid w:val="0091403F"/>
    <w:rsid w:val="00914F7E"/>
    <w:rsid w:val="00915E2A"/>
    <w:rsid w:val="009205CD"/>
    <w:rsid w:val="00921F70"/>
    <w:rsid w:val="00921F8A"/>
    <w:rsid w:val="00922189"/>
    <w:rsid w:val="009238D0"/>
    <w:rsid w:val="00923A97"/>
    <w:rsid w:val="009246C8"/>
    <w:rsid w:val="0092562B"/>
    <w:rsid w:val="00925B1D"/>
    <w:rsid w:val="00925CA8"/>
    <w:rsid w:val="009270D5"/>
    <w:rsid w:val="009272A1"/>
    <w:rsid w:val="00927D50"/>
    <w:rsid w:val="00927F12"/>
    <w:rsid w:val="00930A02"/>
    <w:rsid w:val="00930A0B"/>
    <w:rsid w:val="009318AA"/>
    <w:rsid w:val="00931CC4"/>
    <w:rsid w:val="009325DE"/>
    <w:rsid w:val="009331D3"/>
    <w:rsid w:val="00933997"/>
    <w:rsid w:val="00934231"/>
    <w:rsid w:val="0093428A"/>
    <w:rsid w:val="00934A84"/>
    <w:rsid w:val="0093536B"/>
    <w:rsid w:val="00935422"/>
    <w:rsid w:val="00935483"/>
    <w:rsid w:val="00935D35"/>
    <w:rsid w:val="009369FB"/>
    <w:rsid w:val="00937267"/>
    <w:rsid w:val="0093726F"/>
    <w:rsid w:val="00937477"/>
    <w:rsid w:val="00937877"/>
    <w:rsid w:val="00937CF9"/>
    <w:rsid w:val="009410F3"/>
    <w:rsid w:val="009418C0"/>
    <w:rsid w:val="00941B75"/>
    <w:rsid w:val="00942F21"/>
    <w:rsid w:val="00945302"/>
    <w:rsid w:val="00945345"/>
    <w:rsid w:val="009467B7"/>
    <w:rsid w:val="0094791A"/>
    <w:rsid w:val="009479A6"/>
    <w:rsid w:val="00947F76"/>
    <w:rsid w:val="0095335D"/>
    <w:rsid w:val="00954087"/>
    <w:rsid w:val="0095426C"/>
    <w:rsid w:val="00954A03"/>
    <w:rsid w:val="00955553"/>
    <w:rsid w:val="00955A37"/>
    <w:rsid w:val="00956573"/>
    <w:rsid w:val="00956D8E"/>
    <w:rsid w:val="0096009E"/>
    <w:rsid w:val="009618A1"/>
    <w:rsid w:val="0096199D"/>
    <w:rsid w:val="00961ACE"/>
    <w:rsid w:val="009632F6"/>
    <w:rsid w:val="009634F5"/>
    <w:rsid w:val="00963940"/>
    <w:rsid w:val="00965046"/>
    <w:rsid w:val="00965099"/>
    <w:rsid w:val="009655DC"/>
    <w:rsid w:val="00965CF4"/>
    <w:rsid w:val="00965EBC"/>
    <w:rsid w:val="009661E3"/>
    <w:rsid w:val="009666E1"/>
    <w:rsid w:val="00966D3C"/>
    <w:rsid w:val="0097384F"/>
    <w:rsid w:val="00974A0D"/>
    <w:rsid w:val="00974E43"/>
    <w:rsid w:val="009757EC"/>
    <w:rsid w:val="00976562"/>
    <w:rsid w:val="00976E18"/>
    <w:rsid w:val="009777D0"/>
    <w:rsid w:val="00980832"/>
    <w:rsid w:val="00981659"/>
    <w:rsid w:val="00981ED3"/>
    <w:rsid w:val="0098269C"/>
    <w:rsid w:val="00982A9B"/>
    <w:rsid w:val="00983432"/>
    <w:rsid w:val="00983788"/>
    <w:rsid w:val="00984771"/>
    <w:rsid w:val="00984AF1"/>
    <w:rsid w:val="00985E03"/>
    <w:rsid w:val="00987F05"/>
    <w:rsid w:val="009923CF"/>
    <w:rsid w:val="00993428"/>
    <w:rsid w:val="00993726"/>
    <w:rsid w:val="0099458D"/>
    <w:rsid w:val="0099493C"/>
    <w:rsid w:val="00994EE4"/>
    <w:rsid w:val="00995C79"/>
    <w:rsid w:val="009A088F"/>
    <w:rsid w:val="009A23FA"/>
    <w:rsid w:val="009A2559"/>
    <w:rsid w:val="009A2B68"/>
    <w:rsid w:val="009A411F"/>
    <w:rsid w:val="009A4CF2"/>
    <w:rsid w:val="009A5861"/>
    <w:rsid w:val="009A5FF4"/>
    <w:rsid w:val="009A6ED3"/>
    <w:rsid w:val="009A7AD1"/>
    <w:rsid w:val="009B3A5E"/>
    <w:rsid w:val="009B3C2D"/>
    <w:rsid w:val="009B49F8"/>
    <w:rsid w:val="009B6359"/>
    <w:rsid w:val="009B6CE4"/>
    <w:rsid w:val="009B6F0C"/>
    <w:rsid w:val="009C0424"/>
    <w:rsid w:val="009C0A38"/>
    <w:rsid w:val="009C1C6E"/>
    <w:rsid w:val="009C1FB9"/>
    <w:rsid w:val="009C2392"/>
    <w:rsid w:val="009C2546"/>
    <w:rsid w:val="009C315C"/>
    <w:rsid w:val="009C38C9"/>
    <w:rsid w:val="009C4F9B"/>
    <w:rsid w:val="009C5394"/>
    <w:rsid w:val="009C57F5"/>
    <w:rsid w:val="009C5C59"/>
    <w:rsid w:val="009C5CDB"/>
    <w:rsid w:val="009C65F1"/>
    <w:rsid w:val="009C7A58"/>
    <w:rsid w:val="009D11AB"/>
    <w:rsid w:val="009D14F0"/>
    <w:rsid w:val="009D21BE"/>
    <w:rsid w:val="009D2541"/>
    <w:rsid w:val="009D40A7"/>
    <w:rsid w:val="009D4416"/>
    <w:rsid w:val="009D45F6"/>
    <w:rsid w:val="009D48A7"/>
    <w:rsid w:val="009D5D6A"/>
    <w:rsid w:val="009D6A26"/>
    <w:rsid w:val="009E04B4"/>
    <w:rsid w:val="009E07AF"/>
    <w:rsid w:val="009E1320"/>
    <w:rsid w:val="009E1EA1"/>
    <w:rsid w:val="009E2A74"/>
    <w:rsid w:val="009E2F93"/>
    <w:rsid w:val="009E4785"/>
    <w:rsid w:val="009E5827"/>
    <w:rsid w:val="009E615C"/>
    <w:rsid w:val="009E762D"/>
    <w:rsid w:val="009F23EA"/>
    <w:rsid w:val="009F2C90"/>
    <w:rsid w:val="009F2CB6"/>
    <w:rsid w:val="009F4A71"/>
    <w:rsid w:val="009F698C"/>
    <w:rsid w:val="009F71BF"/>
    <w:rsid w:val="00A003B5"/>
    <w:rsid w:val="00A00D15"/>
    <w:rsid w:val="00A00D99"/>
    <w:rsid w:val="00A01522"/>
    <w:rsid w:val="00A01839"/>
    <w:rsid w:val="00A01D11"/>
    <w:rsid w:val="00A0264F"/>
    <w:rsid w:val="00A04121"/>
    <w:rsid w:val="00A056EA"/>
    <w:rsid w:val="00A05785"/>
    <w:rsid w:val="00A05D64"/>
    <w:rsid w:val="00A066FC"/>
    <w:rsid w:val="00A06A79"/>
    <w:rsid w:val="00A07009"/>
    <w:rsid w:val="00A0720E"/>
    <w:rsid w:val="00A10A49"/>
    <w:rsid w:val="00A1213B"/>
    <w:rsid w:val="00A12256"/>
    <w:rsid w:val="00A12292"/>
    <w:rsid w:val="00A1288B"/>
    <w:rsid w:val="00A1395A"/>
    <w:rsid w:val="00A13FAE"/>
    <w:rsid w:val="00A14CD9"/>
    <w:rsid w:val="00A155D2"/>
    <w:rsid w:val="00A15750"/>
    <w:rsid w:val="00A15868"/>
    <w:rsid w:val="00A16A48"/>
    <w:rsid w:val="00A177A1"/>
    <w:rsid w:val="00A17FE0"/>
    <w:rsid w:val="00A2053D"/>
    <w:rsid w:val="00A2069B"/>
    <w:rsid w:val="00A209A8"/>
    <w:rsid w:val="00A221A6"/>
    <w:rsid w:val="00A224BC"/>
    <w:rsid w:val="00A229E9"/>
    <w:rsid w:val="00A24065"/>
    <w:rsid w:val="00A2428C"/>
    <w:rsid w:val="00A268F7"/>
    <w:rsid w:val="00A2761B"/>
    <w:rsid w:val="00A3059F"/>
    <w:rsid w:val="00A305A7"/>
    <w:rsid w:val="00A31C8C"/>
    <w:rsid w:val="00A32C82"/>
    <w:rsid w:val="00A32D85"/>
    <w:rsid w:val="00A342ED"/>
    <w:rsid w:val="00A35A8F"/>
    <w:rsid w:val="00A35D6F"/>
    <w:rsid w:val="00A36BA8"/>
    <w:rsid w:val="00A37752"/>
    <w:rsid w:val="00A37832"/>
    <w:rsid w:val="00A37F1E"/>
    <w:rsid w:val="00A41513"/>
    <w:rsid w:val="00A41C98"/>
    <w:rsid w:val="00A41E2A"/>
    <w:rsid w:val="00A41F79"/>
    <w:rsid w:val="00A436DD"/>
    <w:rsid w:val="00A43847"/>
    <w:rsid w:val="00A43B37"/>
    <w:rsid w:val="00A44304"/>
    <w:rsid w:val="00A44C3D"/>
    <w:rsid w:val="00A45A85"/>
    <w:rsid w:val="00A45C52"/>
    <w:rsid w:val="00A4648D"/>
    <w:rsid w:val="00A471B9"/>
    <w:rsid w:val="00A475A3"/>
    <w:rsid w:val="00A477A6"/>
    <w:rsid w:val="00A47810"/>
    <w:rsid w:val="00A5108A"/>
    <w:rsid w:val="00A516FB"/>
    <w:rsid w:val="00A526E0"/>
    <w:rsid w:val="00A52780"/>
    <w:rsid w:val="00A531C5"/>
    <w:rsid w:val="00A534E2"/>
    <w:rsid w:val="00A53724"/>
    <w:rsid w:val="00A54181"/>
    <w:rsid w:val="00A548D4"/>
    <w:rsid w:val="00A54E38"/>
    <w:rsid w:val="00A55496"/>
    <w:rsid w:val="00A56218"/>
    <w:rsid w:val="00A57302"/>
    <w:rsid w:val="00A6007E"/>
    <w:rsid w:val="00A6053F"/>
    <w:rsid w:val="00A6057F"/>
    <w:rsid w:val="00A61565"/>
    <w:rsid w:val="00A61808"/>
    <w:rsid w:val="00A6188F"/>
    <w:rsid w:val="00A6226B"/>
    <w:rsid w:val="00A63ABE"/>
    <w:rsid w:val="00A6458D"/>
    <w:rsid w:val="00A6635B"/>
    <w:rsid w:val="00A67C5E"/>
    <w:rsid w:val="00A7123D"/>
    <w:rsid w:val="00A7230A"/>
    <w:rsid w:val="00A733CC"/>
    <w:rsid w:val="00A7353F"/>
    <w:rsid w:val="00A74B5D"/>
    <w:rsid w:val="00A75963"/>
    <w:rsid w:val="00A76129"/>
    <w:rsid w:val="00A7658E"/>
    <w:rsid w:val="00A76C23"/>
    <w:rsid w:val="00A771C0"/>
    <w:rsid w:val="00A777D4"/>
    <w:rsid w:val="00A80523"/>
    <w:rsid w:val="00A80A41"/>
    <w:rsid w:val="00A813E3"/>
    <w:rsid w:val="00A82518"/>
    <w:rsid w:val="00A827BD"/>
    <w:rsid w:val="00A8355E"/>
    <w:rsid w:val="00A839C7"/>
    <w:rsid w:val="00A84271"/>
    <w:rsid w:val="00A85B09"/>
    <w:rsid w:val="00A86394"/>
    <w:rsid w:val="00A87097"/>
    <w:rsid w:val="00A87A29"/>
    <w:rsid w:val="00A87EEC"/>
    <w:rsid w:val="00A90A52"/>
    <w:rsid w:val="00A955F6"/>
    <w:rsid w:val="00A95B43"/>
    <w:rsid w:val="00A9601F"/>
    <w:rsid w:val="00A96D84"/>
    <w:rsid w:val="00A96DAA"/>
    <w:rsid w:val="00A9777B"/>
    <w:rsid w:val="00AA043E"/>
    <w:rsid w:val="00AA0447"/>
    <w:rsid w:val="00AA10A8"/>
    <w:rsid w:val="00AA2467"/>
    <w:rsid w:val="00AA4105"/>
    <w:rsid w:val="00AA47D3"/>
    <w:rsid w:val="00AA6274"/>
    <w:rsid w:val="00AA64A7"/>
    <w:rsid w:val="00AA660F"/>
    <w:rsid w:val="00AA67B0"/>
    <w:rsid w:val="00AA696C"/>
    <w:rsid w:val="00AA7327"/>
    <w:rsid w:val="00AB06B4"/>
    <w:rsid w:val="00AB06DB"/>
    <w:rsid w:val="00AB14FF"/>
    <w:rsid w:val="00AB1607"/>
    <w:rsid w:val="00AB1910"/>
    <w:rsid w:val="00AB2D17"/>
    <w:rsid w:val="00AB33DA"/>
    <w:rsid w:val="00AB3D87"/>
    <w:rsid w:val="00AB595C"/>
    <w:rsid w:val="00AC155C"/>
    <w:rsid w:val="00AC1971"/>
    <w:rsid w:val="00AC1CE8"/>
    <w:rsid w:val="00AC1F4E"/>
    <w:rsid w:val="00AC3075"/>
    <w:rsid w:val="00AC3184"/>
    <w:rsid w:val="00AC330F"/>
    <w:rsid w:val="00AC39D4"/>
    <w:rsid w:val="00AC4685"/>
    <w:rsid w:val="00AC5DD8"/>
    <w:rsid w:val="00AC6207"/>
    <w:rsid w:val="00AC733B"/>
    <w:rsid w:val="00AC73EA"/>
    <w:rsid w:val="00AD042D"/>
    <w:rsid w:val="00AD18D1"/>
    <w:rsid w:val="00AD24C6"/>
    <w:rsid w:val="00AD2C74"/>
    <w:rsid w:val="00AD32D4"/>
    <w:rsid w:val="00AD3AD0"/>
    <w:rsid w:val="00AD3C68"/>
    <w:rsid w:val="00AD3D5F"/>
    <w:rsid w:val="00AD44AD"/>
    <w:rsid w:val="00AD53EF"/>
    <w:rsid w:val="00AD57BA"/>
    <w:rsid w:val="00AD5DF4"/>
    <w:rsid w:val="00AD683E"/>
    <w:rsid w:val="00AD6A9C"/>
    <w:rsid w:val="00AE027D"/>
    <w:rsid w:val="00AE2848"/>
    <w:rsid w:val="00AE2B55"/>
    <w:rsid w:val="00AE3BD4"/>
    <w:rsid w:val="00AE3D66"/>
    <w:rsid w:val="00AE4BB2"/>
    <w:rsid w:val="00AE4C84"/>
    <w:rsid w:val="00AE58B0"/>
    <w:rsid w:val="00AE6069"/>
    <w:rsid w:val="00AE7348"/>
    <w:rsid w:val="00AE79AB"/>
    <w:rsid w:val="00AE7B88"/>
    <w:rsid w:val="00AE7D23"/>
    <w:rsid w:val="00AF001C"/>
    <w:rsid w:val="00AF10A0"/>
    <w:rsid w:val="00AF14D7"/>
    <w:rsid w:val="00AF2304"/>
    <w:rsid w:val="00AF5877"/>
    <w:rsid w:val="00AF5BF8"/>
    <w:rsid w:val="00AF5D5A"/>
    <w:rsid w:val="00AF6874"/>
    <w:rsid w:val="00B007D8"/>
    <w:rsid w:val="00B008C9"/>
    <w:rsid w:val="00B00A20"/>
    <w:rsid w:val="00B00EEC"/>
    <w:rsid w:val="00B012B7"/>
    <w:rsid w:val="00B0146A"/>
    <w:rsid w:val="00B0199A"/>
    <w:rsid w:val="00B0396B"/>
    <w:rsid w:val="00B048A9"/>
    <w:rsid w:val="00B05008"/>
    <w:rsid w:val="00B0505C"/>
    <w:rsid w:val="00B052BB"/>
    <w:rsid w:val="00B05933"/>
    <w:rsid w:val="00B05D23"/>
    <w:rsid w:val="00B0607A"/>
    <w:rsid w:val="00B06B33"/>
    <w:rsid w:val="00B10250"/>
    <w:rsid w:val="00B10CAE"/>
    <w:rsid w:val="00B11BDA"/>
    <w:rsid w:val="00B11FC1"/>
    <w:rsid w:val="00B1441F"/>
    <w:rsid w:val="00B159EA"/>
    <w:rsid w:val="00B165BC"/>
    <w:rsid w:val="00B168B8"/>
    <w:rsid w:val="00B16B3C"/>
    <w:rsid w:val="00B17C94"/>
    <w:rsid w:val="00B2041E"/>
    <w:rsid w:val="00B20613"/>
    <w:rsid w:val="00B20C46"/>
    <w:rsid w:val="00B21723"/>
    <w:rsid w:val="00B2222B"/>
    <w:rsid w:val="00B22438"/>
    <w:rsid w:val="00B225C7"/>
    <w:rsid w:val="00B22C6E"/>
    <w:rsid w:val="00B23E86"/>
    <w:rsid w:val="00B245E5"/>
    <w:rsid w:val="00B25EEB"/>
    <w:rsid w:val="00B2621B"/>
    <w:rsid w:val="00B2695A"/>
    <w:rsid w:val="00B27105"/>
    <w:rsid w:val="00B303D4"/>
    <w:rsid w:val="00B31A9D"/>
    <w:rsid w:val="00B32A53"/>
    <w:rsid w:val="00B32C09"/>
    <w:rsid w:val="00B32EF4"/>
    <w:rsid w:val="00B3362C"/>
    <w:rsid w:val="00B33F7B"/>
    <w:rsid w:val="00B342F5"/>
    <w:rsid w:val="00B362E8"/>
    <w:rsid w:val="00B3643E"/>
    <w:rsid w:val="00B36AE2"/>
    <w:rsid w:val="00B37545"/>
    <w:rsid w:val="00B40A2F"/>
    <w:rsid w:val="00B40DF5"/>
    <w:rsid w:val="00B419C5"/>
    <w:rsid w:val="00B420D1"/>
    <w:rsid w:val="00B422FC"/>
    <w:rsid w:val="00B42452"/>
    <w:rsid w:val="00B427EB"/>
    <w:rsid w:val="00B42CA3"/>
    <w:rsid w:val="00B444B9"/>
    <w:rsid w:val="00B468B3"/>
    <w:rsid w:val="00B469D8"/>
    <w:rsid w:val="00B478F0"/>
    <w:rsid w:val="00B5147C"/>
    <w:rsid w:val="00B5357F"/>
    <w:rsid w:val="00B556A7"/>
    <w:rsid w:val="00B5627D"/>
    <w:rsid w:val="00B573CD"/>
    <w:rsid w:val="00B57B70"/>
    <w:rsid w:val="00B60494"/>
    <w:rsid w:val="00B620C7"/>
    <w:rsid w:val="00B62796"/>
    <w:rsid w:val="00B638F0"/>
    <w:rsid w:val="00B63D35"/>
    <w:rsid w:val="00B63ED4"/>
    <w:rsid w:val="00B64BDA"/>
    <w:rsid w:val="00B66D38"/>
    <w:rsid w:val="00B679DD"/>
    <w:rsid w:val="00B70248"/>
    <w:rsid w:val="00B71580"/>
    <w:rsid w:val="00B7225D"/>
    <w:rsid w:val="00B72D04"/>
    <w:rsid w:val="00B7391E"/>
    <w:rsid w:val="00B7441E"/>
    <w:rsid w:val="00B75CF2"/>
    <w:rsid w:val="00B75D41"/>
    <w:rsid w:val="00B76F37"/>
    <w:rsid w:val="00B7737D"/>
    <w:rsid w:val="00B80500"/>
    <w:rsid w:val="00B80652"/>
    <w:rsid w:val="00B811D9"/>
    <w:rsid w:val="00B82197"/>
    <w:rsid w:val="00B82F05"/>
    <w:rsid w:val="00B82FD7"/>
    <w:rsid w:val="00B83751"/>
    <w:rsid w:val="00B84813"/>
    <w:rsid w:val="00B85580"/>
    <w:rsid w:val="00B85AD4"/>
    <w:rsid w:val="00B86582"/>
    <w:rsid w:val="00B86B06"/>
    <w:rsid w:val="00B86F20"/>
    <w:rsid w:val="00B86F8F"/>
    <w:rsid w:val="00B8762C"/>
    <w:rsid w:val="00B87928"/>
    <w:rsid w:val="00B87F63"/>
    <w:rsid w:val="00B9023F"/>
    <w:rsid w:val="00B927FA"/>
    <w:rsid w:val="00B92CD1"/>
    <w:rsid w:val="00B936D3"/>
    <w:rsid w:val="00B93FFE"/>
    <w:rsid w:val="00B96CDA"/>
    <w:rsid w:val="00B97438"/>
    <w:rsid w:val="00B97A41"/>
    <w:rsid w:val="00BA020B"/>
    <w:rsid w:val="00BA03E3"/>
    <w:rsid w:val="00BA0A3A"/>
    <w:rsid w:val="00BA11F1"/>
    <w:rsid w:val="00BA1558"/>
    <w:rsid w:val="00BA1A59"/>
    <w:rsid w:val="00BA277E"/>
    <w:rsid w:val="00BA4E0C"/>
    <w:rsid w:val="00BA4F85"/>
    <w:rsid w:val="00BA5043"/>
    <w:rsid w:val="00BA7276"/>
    <w:rsid w:val="00BB0691"/>
    <w:rsid w:val="00BB16D1"/>
    <w:rsid w:val="00BB1F58"/>
    <w:rsid w:val="00BB24F3"/>
    <w:rsid w:val="00BB2572"/>
    <w:rsid w:val="00BB2C81"/>
    <w:rsid w:val="00BB39A6"/>
    <w:rsid w:val="00BB420E"/>
    <w:rsid w:val="00BB4E8A"/>
    <w:rsid w:val="00BB5B41"/>
    <w:rsid w:val="00BB6CAC"/>
    <w:rsid w:val="00BB7513"/>
    <w:rsid w:val="00BB7933"/>
    <w:rsid w:val="00BC0701"/>
    <w:rsid w:val="00BC1567"/>
    <w:rsid w:val="00BC1BAD"/>
    <w:rsid w:val="00BC25BB"/>
    <w:rsid w:val="00BC2F1A"/>
    <w:rsid w:val="00BC4AEA"/>
    <w:rsid w:val="00BC5CE5"/>
    <w:rsid w:val="00BC7DEB"/>
    <w:rsid w:val="00BD01A6"/>
    <w:rsid w:val="00BD01ED"/>
    <w:rsid w:val="00BD1D3E"/>
    <w:rsid w:val="00BD28BA"/>
    <w:rsid w:val="00BD2A72"/>
    <w:rsid w:val="00BD3791"/>
    <w:rsid w:val="00BD4023"/>
    <w:rsid w:val="00BD54F5"/>
    <w:rsid w:val="00BD57CB"/>
    <w:rsid w:val="00BD7505"/>
    <w:rsid w:val="00BD7780"/>
    <w:rsid w:val="00BD7A8B"/>
    <w:rsid w:val="00BE2045"/>
    <w:rsid w:val="00BE20E7"/>
    <w:rsid w:val="00BE3C05"/>
    <w:rsid w:val="00BE41D8"/>
    <w:rsid w:val="00BE48C9"/>
    <w:rsid w:val="00BE4AAF"/>
    <w:rsid w:val="00BE54AC"/>
    <w:rsid w:val="00BE5A8C"/>
    <w:rsid w:val="00BE6332"/>
    <w:rsid w:val="00BE6C71"/>
    <w:rsid w:val="00BE6E70"/>
    <w:rsid w:val="00BE7AA3"/>
    <w:rsid w:val="00BF0EF7"/>
    <w:rsid w:val="00BF10E5"/>
    <w:rsid w:val="00BF1955"/>
    <w:rsid w:val="00BF2C35"/>
    <w:rsid w:val="00BF37B4"/>
    <w:rsid w:val="00BF4ED0"/>
    <w:rsid w:val="00BF58BA"/>
    <w:rsid w:val="00BF722D"/>
    <w:rsid w:val="00C005C0"/>
    <w:rsid w:val="00C011FB"/>
    <w:rsid w:val="00C0196C"/>
    <w:rsid w:val="00C02DCF"/>
    <w:rsid w:val="00C034C5"/>
    <w:rsid w:val="00C03A69"/>
    <w:rsid w:val="00C04091"/>
    <w:rsid w:val="00C054BF"/>
    <w:rsid w:val="00C05969"/>
    <w:rsid w:val="00C05B03"/>
    <w:rsid w:val="00C05E72"/>
    <w:rsid w:val="00C065BC"/>
    <w:rsid w:val="00C075F2"/>
    <w:rsid w:val="00C0763E"/>
    <w:rsid w:val="00C076DD"/>
    <w:rsid w:val="00C077CC"/>
    <w:rsid w:val="00C11CAC"/>
    <w:rsid w:val="00C130B9"/>
    <w:rsid w:val="00C13A71"/>
    <w:rsid w:val="00C13D78"/>
    <w:rsid w:val="00C1428F"/>
    <w:rsid w:val="00C14585"/>
    <w:rsid w:val="00C164F1"/>
    <w:rsid w:val="00C16BA2"/>
    <w:rsid w:val="00C17497"/>
    <w:rsid w:val="00C174A1"/>
    <w:rsid w:val="00C2040B"/>
    <w:rsid w:val="00C2120A"/>
    <w:rsid w:val="00C21FFB"/>
    <w:rsid w:val="00C22464"/>
    <w:rsid w:val="00C22630"/>
    <w:rsid w:val="00C23F2D"/>
    <w:rsid w:val="00C2413C"/>
    <w:rsid w:val="00C24149"/>
    <w:rsid w:val="00C242E2"/>
    <w:rsid w:val="00C2439E"/>
    <w:rsid w:val="00C247CF"/>
    <w:rsid w:val="00C24E44"/>
    <w:rsid w:val="00C2596B"/>
    <w:rsid w:val="00C27601"/>
    <w:rsid w:val="00C310D8"/>
    <w:rsid w:val="00C31433"/>
    <w:rsid w:val="00C314D1"/>
    <w:rsid w:val="00C31B2D"/>
    <w:rsid w:val="00C31FBE"/>
    <w:rsid w:val="00C3246F"/>
    <w:rsid w:val="00C32871"/>
    <w:rsid w:val="00C32A71"/>
    <w:rsid w:val="00C32CBE"/>
    <w:rsid w:val="00C33653"/>
    <w:rsid w:val="00C33D9B"/>
    <w:rsid w:val="00C34FAA"/>
    <w:rsid w:val="00C3772B"/>
    <w:rsid w:val="00C37CDE"/>
    <w:rsid w:val="00C404BA"/>
    <w:rsid w:val="00C40887"/>
    <w:rsid w:val="00C41257"/>
    <w:rsid w:val="00C41674"/>
    <w:rsid w:val="00C41889"/>
    <w:rsid w:val="00C41FB0"/>
    <w:rsid w:val="00C42102"/>
    <w:rsid w:val="00C42834"/>
    <w:rsid w:val="00C43589"/>
    <w:rsid w:val="00C43CED"/>
    <w:rsid w:val="00C43E6D"/>
    <w:rsid w:val="00C44530"/>
    <w:rsid w:val="00C451C8"/>
    <w:rsid w:val="00C46C32"/>
    <w:rsid w:val="00C47611"/>
    <w:rsid w:val="00C47FBB"/>
    <w:rsid w:val="00C50B29"/>
    <w:rsid w:val="00C50E57"/>
    <w:rsid w:val="00C5135C"/>
    <w:rsid w:val="00C51EF8"/>
    <w:rsid w:val="00C521DB"/>
    <w:rsid w:val="00C5258E"/>
    <w:rsid w:val="00C53DD8"/>
    <w:rsid w:val="00C55038"/>
    <w:rsid w:val="00C566A1"/>
    <w:rsid w:val="00C56F80"/>
    <w:rsid w:val="00C57482"/>
    <w:rsid w:val="00C57749"/>
    <w:rsid w:val="00C577AC"/>
    <w:rsid w:val="00C6017A"/>
    <w:rsid w:val="00C60295"/>
    <w:rsid w:val="00C606AB"/>
    <w:rsid w:val="00C607D3"/>
    <w:rsid w:val="00C6089D"/>
    <w:rsid w:val="00C6123C"/>
    <w:rsid w:val="00C6255A"/>
    <w:rsid w:val="00C62D26"/>
    <w:rsid w:val="00C647CB"/>
    <w:rsid w:val="00C64DBF"/>
    <w:rsid w:val="00C64E4E"/>
    <w:rsid w:val="00C65C59"/>
    <w:rsid w:val="00C66836"/>
    <w:rsid w:val="00C7028C"/>
    <w:rsid w:val="00C70B51"/>
    <w:rsid w:val="00C72315"/>
    <w:rsid w:val="00C72A06"/>
    <w:rsid w:val="00C737DE"/>
    <w:rsid w:val="00C74E40"/>
    <w:rsid w:val="00C76137"/>
    <w:rsid w:val="00C76637"/>
    <w:rsid w:val="00C777E1"/>
    <w:rsid w:val="00C778FC"/>
    <w:rsid w:val="00C77A8E"/>
    <w:rsid w:val="00C77C56"/>
    <w:rsid w:val="00C80CD5"/>
    <w:rsid w:val="00C8176C"/>
    <w:rsid w:val="00C82188"/>
    <w:rsid w:val="00C827E0"/>
    <w:rsid w:val="00C83CE7"/>
    <w:rsid w:val="00C84236"/>
    <w:rsid w:val="00C84470"/>
    <w:rsid w:val="00C84518"/>
    <w:rsid w:val="00C8486D"/>
    <w:rsid w:val="00C84AFA"/>
    <w:rsid w:val="00C864A0"/>
    <w:rsid w:val="00C877C8"/>
    <w:rsid w:val="00C90FF2"/>
    <w:rsid w:val="00C922E6"/>
    <w:rsid w:val="00C93C85"/>
    <w:rsid w:val="00C94189"/>
    <w:rsid w:val="00C94615"/>
    <w:rsid w:val="00C948DE"/>
    <w:rsid w:val="00C95CF5"/>
    <w:rsid w:val="00C969F9"/>
    <w:rsid w:val="00C96E08"/>
    <w:rsid w:val="00C97512"/>
    <w:rsid w:val="00CA104D"/>
    <w:rsid w:val="00CA11C5"/>
    <w:rsid w:val="00CA11F9"/>
    <w:rsid w:val="00CA2754"/>
    <w:rsid w:val="00CA2D9D"/>
    <w:rsid w:val="00CA4D78"/>
    <w:rsid w:val="00CA5389"/>
    <w:rsid w:val="00CA605E"/>
    <w:rsid w:val="00CA6574"/>
    <w:rsid w:val="00CA7BC9"/>
    <w:rsid w:val="00CB0577"/>
    <w:rsid w:val="00CB0733"/>
    <w:rsid w:val="00CB0A40"/>
    <w:rsid w:val="00CB0EF2"/>
    <w:rsid w:val="00CB1789"/>
    <w:rsid w:val="00CB2DB2"/>
    <w:rsid w:val="00CB318A"/>
    <w:rsid w:val="00CB6940"/>
    <w:rsid w:val="00CB777B"/>
    <w:rsid w:val="00CC0571"/>
    <w:rsid w:val="00CC209B"/>
    <w:rsid w:val="00CC420B"/>
    <w:rsid w:val="00CC4296"/>
    <w:rsid w:val="00CC4A13"/>
    <w:rsid w:val="00CC4C27"/>
    <w:rsid w:val="00CC5DD4"/>
    <w:rsid w:val="00CC6921"/>
    <w:rsid w:val="00CC73E7"/>
    <w:rsid w:val="00CC7EA5"/>
    <w:rsid w:val="00CD493C"/>
    <w:rsid w:val="00CD4B0C"/>
    <w:rsid w:val="00CD4FEC"/>
    <w:rsid w:val="00CD58E4"/>
    <w:rsid w:val="00CD605B"/>
    <w:rsid w:val="00CD7547"/>
    <w:rsid w:val="00CD7D8A"/>
    <w:rsid w:val="00CD7D95"/>
    <w:rsid w:val="00CE0061"/>
    <w:rsid w:val="00CE0865"/>
    <w:rsid w:val="00CE0D91"/>
    <w:rsid w:val="00CE12E7"/>
    <w:rsid w:val="00CE46F6"/>
    <w:rsid w:val="00CE4F7D"/>
    <w:rsid w:val="00CE5484"/>
    <w:rsid w:val="00CE5E2D"/>
    <w:rsid w:val="00CE78E9"/>
    <w:rsid w:val="00CE7FDE"/>
    <w:rsid w:val="00CF04FA"/>
    <w:rsid w:val="00CF2EDA"/>
    <w:rsid w:val="00CF3CC7"/>
    <w:rsid w:val="00CF4D9F"/>
    <w:rsid w:val="00CF541E"/>
    <w:rsid w:val="00D00889"/>
    <w:rsid w:val="00D021F0"/>
    <w:rsid w:val="00D0267C"/>
    <w:rsid w:val="00D02C0D"/>
    <w:rsid w:val="00D03055"/>
    <w:rsid w:val="00D036C9"/>
    <w:rsid w:val="00D04E17"/>
    <w:rsid w:val="00D054E7"/>
    <w:rsid w:val="00D058AD"/>
    <w:rsid w:val="00D10DB5"/>
    <w:rsid w:val="00D11A78"/>
    <w:rsid w:val="00D11B3A"/>
    <w:rsid w:val="00D12669"/>
    <w:rsid w:val="00D14092"/>
    <w:rsid w:val="00D144A6"/>
    <w:rsid w:val="00D14987"/>
    <w:rsid w:val="00D15217"/>
    <w:rsid w:val="00D156CC"/>
    <w:rsid w:val="00D15979"/>
    <w:rsid w:val="00D164C4"/>
    <w:rsid w:val="00D1652D"/>
    <w:rsid w:val="00D168DE"/>
    <w:rsid w:val="00D177BF"/>
    <w:rsid w:val="00D17A76"/>
    <w:rsid w:val="00D201BB"/>
    <w:rsid w:val="00D202AF"/>
    <w:rsid w:val="00D2148A"/>
    <w:rsid w:val="00D22D77"/>
    <w:rsid w:val="00D2439C"/>
    <w:rsid w:val="00D24EF7"/>
    <w:rsid w:val="00D26CA2"/>
    <w:rsid w:val="00D27F14"/>
    <w:rsid w:val="00D300CA"/>
    <w:rsid w:val="00D30AB3"/>
    <w:rsid w:val="00D31F9C"/>
    <w:rsid w:val="00D32164"/>
    <w:rsid w:val="00D328F3"/>
    <w:rsid w:val="00D339C4"/>
    <w:rsid w:val="00D33DEF"/>
    <w:rsid w:val="00D34CC9"/>
    <w:rsid w:val="00D3521B"/>
    <w:rsid w:val="00D36336"/>
    <w:rsid w:val="00D405FC"/>
    <w:rsid w:val="00D4085C"/>
    <w:rsid w:val="00D40B92"/>
    <w:rsid w:val="00D40D0F"/>
    <w:rsid w:val="00D41557"/>
    <w:rsid w:val="00D418AE"/>
    <w:rsid w:val="00D4453C"/>
    <w:rsid w:val="00D44762"/>
    <w:rsid w:val="00D45209"/>
    <w:rsid w:val="00D459B2"/>
    <w:rsid w:val="00D46A57"/>
    <w:rsid w:val="00D50A33"/>
    <w:rsid w:val="00D51ABC"/>
    <w:rsid w:val="00D51EE0"/>
    <w:rsid w:val="00D52FA4"/>
    <w:rsid w:val="00D532A0"/>
    <w:rsid w:val="00D537A6"/>
    <w:rsid w:val="00D53905"/>
    <w:rsid w:val="00D54072"/>
    <w:rsid w:val="00D54C29"/>
    <w:rsid w:val="00D54D37"/>
    <w:rsid w:val="00D56562"/>
    <w:rsid w:val="00D56687"/>
    <w:rsid w:val="00D57B6E"/>
    <w:rsid w:val="00D61469"/>
    <w:rsid w:val="00D615C0"/>
    <w:rsid w:val="00D62282"/>
    <w:rsid w:val="00D62403"/>
    <w:rsid w:val="00D625FC"/>
    <w:rsid w:val="00D63569"/>
    <w:rsid w:val="00D63D81"/>
    <w:rsid w:val="00D64DFB"/>
    <w:rsid w:val="00D654A8"/>
    <w:rsid w:val="00D65BA8"/>
    <w:rsid w:val="00D66FA4"/>
    <w:rsid w:val="00D67209"/>
    <w:rsid w:val="00D70B88"/>
    <w:rsid w:val="00D71B10"/>
    <w:rsid w:val="00D71C84"/>
    <w:rsid w:val="00D71E3F"/>
    <w:rsid w:val="00D72816"/>
    <w:rsid w:val="00D73D40"/>
    <w:rsid w:val="00D77782"/>
    <w:rsid w:val="00D77992"/>
    <w:rsid w:val="00D81CD0"/>
    <w:rsid w:val="00D8207F"/>
    <w:rsid w:val="00D823E4"/>
    <w:rsid w:val="00D85AF5"/>
    <w:rsid w:val="00D85D85"/>
    <w:rsid w:val="00D86FCE"/>
    <w:rsid w:val="00D9012D"/>
    <w:rsid w:val="00D9069C"/>
    <w:rsid w:val="00D9164B"/>
    <w:rsid w:val="00D91BF3"/>
    <w:rsid w:val="00D92614"/>
    <w:rsid w:val="00D9277C"/>
    <w:rsid w:val="00D92963"/>
    <w:rsid w:val="00D92A00"/>
    <w:rsid w:val="00D933DC"/>
    <w:rsid w:val="00D93E09"/>
    <w:rsid w:val="00D9468C"/>
    <w:rsid w:val="00D95160"/>
    <w:rsid w:val="00D952E4"/>
    <w:rsid w:val="00D96E10"/>
    <w:rsid w:val="00D97333"/>
    <w:rsid w:val="00D97ECD"/>
    <w:rsid w:val="00DA0610"/>
    <w:rsid w:val="00DA0C17"/>
    <w:rsid w:val="00DA0EDA"/>
    <w:rsid w:val="00DA21E6"/>
    <w:rsid w:val="00DA2647"/>
    <w:rsid w:val="00DA31B7"/>
    <w:rsid w:val="00DA33F9"/>
    <w:rsid w:val="00DA44BF"/>
    <w:rsid w:val="00DA4B06"/>
    <w:rsid w:val="00DA5363"/>
    <w:rsid w:val="00DA574C"/>
    <w:rsid w:val="00DA5DBB"/>
    <w:rsid w:val="00DA6C04"/>
    <w:rsid w:val="00DA7E52"/>
    <w:rsid w:val="00DB043D"/>
    <w:rsid w:val="00DB1137"/>
    <w:rsid w:val="00DB217D"/>
    <w:rsid w:val="00DB2FCA"/>
    <w:rsid w:val="00DB3851"/>
    <w:rsid w:val="00DB3A13"/>
    <w:rsid w:val="00DB4DAD"/>
    <w:rsid w:val="00DB4E9D"/>
    <w:rsid w:val="00DB5D03"/>
    <w:rsid w:val="00DB6102"/>
    <w:rsid w:val="00DB69CC"/>
    <w:rsid w:val="00DB77C4"/>
    <w:rsid w:val="00DB7A69"/>
    <w:rsid w:val="00DB7D89"/>
    <w:rsid w:val="00DC02E8"/>
    <w:rsid w:val="00DC0E3E"/>
    <w:rsid w:val="00DC2417"/>
    <w:rsid w:val="00DC26ED"/>
    <w:rsid w:val="00DC3D7B"/>
    <w:rsid w:val="00DC43B5"/>
    <w:rsid w:val="00DC49C0"/>
    <w:rsid w:val="00DC5ABD"/>
    <w:rsid w:val="00DC5D54"/>
    <w:rsid w:val="00DC5E43"/>
    <w:rsid w:val="00DC5E93"/>
    <w:rsid w:val="00DC7EEA"/>
    <w:rsid w:val="00DD12A5"/>
    <w:rsid w:val="00DD163E"/>
    <w:rsid w:val="00DD1706"/>
    <w:rsid w:val="00DD202D"/>
    <w:rsid w:val="00DD3056"/>
    <w:rsid w:val="00DD30BB"/>
    <w:rsid w:val="00DD3A0B"/>
    <w:rsid w:val="00DD3E75"/>
    <w:rsid w:val="00DD43A5"/>
    <w:rsid w:val="00DD43AF"/>
    <w:rsid w:val="00DD43DC"/>
    <w:rsid w:val="00DD52BE"/>
    <w:rsid w:val="00DD5439"/>
    <w:rsid w:val="00DD5540"/>
    <w:rsid w:val="00DD55BB"/>
    <w:rsid w:val="00DD64B1"/>
    <w:rsid w:val="00DD7BD6"/>
    <w:rsid w:val="00DE0AC1"/>
    <w:rsid w:val="00DE0BA1"/>
    <w:rsid w:val="00DE24C4"/>
    <w:rsid w:val="00DE2BD8"/>
    <w:rsid w:val="00DE3066"/>
    <w:rsid w:val="00DE381A"/>
    <w:rsid w:val="00DE3A81"/>
    <w:rsid w:val="00DE4193"/>
    <w:rsid w:val="00DE4DB9"/>
    <w:rsid w:val="00DE5892"/>
    <w:rsid w:val="00DE591C"/>
    <w:rsid w:val="00DE5DA3"/>
    <w:rsid w:val="00DE6792"/>
    <w:rsid w:val="00DE6962"/>
    <w:rsid w:val="00DE7BD0"/>
    <w:rsid w:val="00DF0870"/>
    <w:rsid w:val="00DF0C6C"/>
    <w:rsid w:val="00DF1570"/>
    <w:rsid w:val="00DF16E7"/>
    <w:rsid w:val="00DF2AE9"/>
    <w:rsid w:val="00DF3C17"/>
    <w:rsid w:val="00DF435D"/>
    <w:rsid w:val="00DF49F6"/>
    <w:rsid w:val="00DF5B78"/>
    <w:rsid w:val="00DF5FEC"/>
    <w:rsid w:val="00DF6EFE"/>
    <w:rsid w:val="00DF70C2"/>
    <w:rsid w:val="00DF773D"/>
    <w:rsid w:val="00DF7A38"/>
    <w:rsid w:val="00DF7C1C"/>
    <w:rsid w:val="00E0071F"/>
    <w:rsid w:val="00E00796"/>
    <w:rsid w:val="00E009CD"/>
    <w:rsid w:val="00E00A55"/>
    <w:rsid w:val="00E014CD"/>
    <w:rsid w:val="00E01799"/>
    <w:rsid w:val="00E0179D"/>
    <w:rsid w:val="00E025C9"/>
    <w:rsid w:val="00E06128"/>
    <w:rsid w:val="00E0687A"/>
    <w:rsid w:val="00E07BF1"/>
    <w:rsid w:val="00E07E5E"/>
    <w:rsid w:val="00E1196E"/>
    <w:rsid w:val="00E11E08"/>
    <w:rsid w:val="00E12937"/>
    <w:rsid w:val="00E13EE1"/>
    <w:rsid w:val="00E151C4"/>
    <w:rsid w:val="00E1549F"/>
    <w:rsid w:val="00E155B2"/>
    <w:rsid w:val="00E155F1"/>
    <w:rsid w:val="00E1610C"/>
    <w:rsid w:val="00E16757"/>
    <w:rsid w:val="00E177E6"/>
    <w:rsid w:val="00E17EB7"/>
    <w:rsid w:val="00E20538"/>
    <w:rsid w:val="00E212C2"/>
    <w:rsid w:val="00E2167F"/>
    <w:rsid w:val="00E222AC"/>
    <w:rsid w:val="00E22326"/>
    <w:rsid w:val="00E22FF6"/>
    <w:rsid w:val="00E243BF"/>
    <w:rsid w:val="00E24BE5"/>
    <w:rsid w:val="00E25A1D"/>
    <w:rsid w:val="00E27089"/>
    <w:rsid w:val="00E303FC"/>
    <w:rsid w:val="00E31FD0"/>
    <w:rsid w:val="00E323AB"/>
    <w:rsid w:val="00E32445"/>
    <w:rsid w:val="00E32535"/>
    <w:rsid w:val="00E327B7"/>
    <w:rsid w:val="00E33543"/>
    <w:rsid w:val="00E3356F"/>
    <w:rsid w:val="00E34253"/>
    <w:rsid w:val="00E35113"/>
    <w:rsid w:val="00E36515"/>
    <w:rsid w:val="00E371AE"/>
    <w:rsid w:val="00E37D60"/>
    <w:rsid w:val="00E37DEB"/>
    <w:rsid w:val="00E413C2"/>
    <w:rsid w:val="00E41A5E"/>
    <w:rsid w:val="00E43AD7"/>
    <w:rsid w:val="00E4443A"/>
    <w:rsid w:val="00E44777"/>
    <w:rsid w:val="00E44E51"/>
    <w:rsid w:val="00E45F19"/>
    <w:rsid w:val="00E46BD2"/>
    <w:rsid w:val="00E46BF9"/>
    <w:rsid w:val="00E50306"/>
    <w:rsid w:val="00E5202E"/>
    <w:rsid w:val="00E5483E"/>
    <w:rsid w:val="00E553C7"/>
    <w:rsid w:val="00E56028"/>
    <w:rsid w:val="00E5701D"/>
    <w:rsid w:val="00E57540"/>
    <w:rsid w:val="00E577B9"/>
    <w:rsid w:val="00E57991"/>
    <w:rsid w:val="00E610ED"/>
    <w:rsid w:val="00E6143B"/>
    <w:rsid w:val="00E61950"/>
    <w:rsid w:val="00E650CE"/>
    <w:rsid w:val="00E669C6"/>
    <w:rsid w:val="00E70BB4"/>
    <w:rsid w:val="00E7134F"/>
    <w:rsid w:val="00E71923"/>
    <w:rsid w:val="00E72411"/>
    <w:rsid w:val="00E729BC"/>
    <w:rsid w:val="00E74A7B"/>
    <w:rsid w:val="00E754C3"/>
    <w:rsid w:val="00E757DA"/>
    <w:rsid w:val="00E76157"/>
    <w:rsid w:val="00E77BDF"/>
    <w:rsid w:val="00E77BF9"/>
    <w:rsid w:val="00E77EC9"/>
    <w:rsid w:val="00E80604"/>
    <w:rsid w:val="00E813AC"/>
    <w:rsid w:val="00E83596"/>
    <w:rsid w:val="00E83885"/>
    <w:rsid w:val="00E85367"/>
    <w:rsid w:val="00E85935"/>
    <w:rsid w:val="00E85B7A"/>
    <w:rsid w:val="00E85F7D"/>
    <w:rsid w:val="00E86310"/>
    <w:rsid w:val="00E869FD"/>
    <w:rsid w:val="00E877E4"/>
    <w:rsid w:val="00E91122"/>
    <w:rsid w:val="00E913EA"/>
    <w:rsid w:val="00E92300"/>
    <w:rsid w:val="00E93237"/>
    <w:rsid w:val="00E9445E"/>
    <w:rsid w:val="00E954CB"/>
    <w:rsid w:val="00E95677"/>
    <w:rsid w:val="00E96724"/>
    <w:rsid w:val="00E96BE3"/>
    <w:rsid w:val="00E970EB"/>
    <w:rsid w:val="00E97338"/>
    <w:rsid w:val="00EA222B"/>
    <w:rsid w:val="00EA28C0"/>
    <w:rsid w:val="00EA3199"/>
    <w:rsid w:val="00EA3691"/>
    <w:rsid w:val="00EA3B5F"/>
    <w:rsid w:val="00EA3C7B"/>
    <w:rsid w:val="00EA499D"/>
    <w:rsid w:val="00EA5E19"/>
    <w:rsid w:val="00EA5FB1"/>
    <w:rsid w:val="00EA717D"/>
    <w:rsid w:val="00EA7631"/>
    <w:rsid w:val="00EB1631"/>
    <w:rsid w:val="00EB1D68"/>
    <w:rsid w:val="00EB2807"/>
    <w:rsid w:val="00EB34D2"/>
    <w:rsid w:val="00EB3A03"/>
    <w:rsid w:val="00EB3C3F"/>
    <w:rsid w:val="00EB3F22"/>
    <w:rsid w:val="00EB455E"/>
    <w:rsid w:val="00EB50AD"/>
    <w:rsid w:val="00EB5A2D"/>
    <w:rsid w:val="00EB78B3"/>
    <w:rsid w:val="00EC08C5"/>
    <w:rsid w:val="00EC0D42"/>
    <w:rsid w:val="00EC1F41"/>
    <w:rsid w:val="00EC2ED2"/>
    <w:rsid w:val="00EC34C3"/>
    <w:rsid w:val="00EC4BCC"/>
    <w:rsid w:val="00EC5025"/>
    <w:rsid w:val="00EC5DE9"/>
    <w:rsid w:val="00EC69ED"/>
    <w:rsid w:val="00EC6B17"/>
    <w:rsid w:val="00EC6E0A"/>
    <w:rsid w:val="00EC6FE9"/>
    <w:rsid w:val="00EC739E"/>
    <w:rsid w:val="00EC7BBD"/>
    <w:rsid w:val="00ED37F7"/>
    <w:rsid w:val="00ED3EDC"/>
    <w:rsid w:val="00ED3FB1"/>
    <w:rsid w:val="00ED49E9"/>
    <w:rsid w:val="00ED5FC5"/>
    <w:rsid w:val="00ED6160"/>
    <w:rsid w:val="00ED6CC4"/>
    <w:rsid w:val="00ED7A83"/>
    <w:rsid w:val="00ED7BD7"/>
    <w:rsid w:val="00EE0924"/>
    <w:rsid w:val="00EE1148"/>
    <w:rsid w:val="00EE388D"/>
    <w:rsid w:val="00EE3DCE"/>
    <w:rsid w:val="00EE4591"/>
    <w:rsid w:val="00EE47EE"/>
    <w:rsid w:val="00EE4AD3"/>
    <w:rsid w:val="00EE4B1D"/>
    <w:rsid w:val="00EE53C1"/>
    <w:rsid w:val="00EE546A"/>
    <w:rsid w:val="00EE6E08"/>
    <w:rsid w:val="00EE7733"/>
    <w:rsid w:val="00EE7B7A"/>
    <w:rsid w:val="00EF1A42"/>
    <w:rsid w:val="00EF27A1"/>
    <w:rsid w:val="00EF2D90"/>
    <w:rsid w:val="00EF3D3F"/>
    <w:rsid w:val="00EF3E03"/>
    <w:rsid w:val="00EF41BE"/>
    <w:rsid w:val="00EF48D9"/>
    <w:rsid w:val="00EF4C2E"/>
    <w:rsid w:val="00EF5097"/>
    <w:rsid w:val="00EF5AEA"/>
    <w:rsid w:val="00EF7F42"/>
    <w:rsid w:val="00F00EDC"/>
    <w:rsid w:val="00F017FB"/>
    <w:rsid w:val="00F01CA8"/>
    <w:rsid w:val="00F02D6F"/>
    <w:rsid w:val="00F03B4C"/>
    <w:rsid w:val="00F044BB"/>
    <w:rsid w:val="00F05B9F"/>
    <w:rsid w:val="00F069C9"/>
    <w:rsid w:val="00F07D98"/>
    <w:rsid w:val="00F104D9"/>
    <w:rsid w:val="00F1060C"/>
    <w:rsid w:val="00F10DC0"/>
    <w:rsid w:val="00F10F09"/>
    <w:rsid w:val="00F11AE8"/>
    <w:rsid w:val="00F14DC6"/>
    <w:rsid w:val="00F15F7A"/>
    <w:rsid w:val="00F161D5"/>
    <w:rsid w:val="00F20080"/>
    <w:rsid w:val="00F2020F"/>
    <w:rsid w:val="00F2046D"/>
    <w:rsid w:val="00F20928"/>
    <w:rsid w:val="00F20F30"/>
    <w:rsid w:val="00F21A1D"/>
    <w:rsid w:val="00F23B50"/>
    <w:rsid w:val="00F242CC"/>
    <w:rsid w:val="00F24CF3"/>
    <w:rsid w:val="00F251BE"/>
    <w:rsid w:val="00F2586D"/>
    <w:rsid w:val="00F25D6C"/>
    <w:rsid w:val="00F26610"/>
    <w:rsid w:val="00F30E2F"/>
    <w:rsid w:val="00F31194"/>
    <w:rsid w:val="00F3165A"/>
    <w:rsid w:val="00F31A0B"/>
    <w:rsid w:val="00F323DC"/>
    <w:rsid w:val="00F33618"/>
    <w:rsid w:val="00F34638"/>
    <w:rsid w:val="00F34842"/>
    <w:rsid w:val="00F3602D"/>
    <w:rsid w:val="00F36988"/>
    <w:rsid w:val="00F36C67"/>
    <w:rsid w:val="00F372FB"/>
    <w:rsid w:val="00F404DE"/>
    <w:rsid w:val="00F41EA1"/>
    <w:rsid w:val="00F45FD8"/>
    <w:rsid w:val="00F46678"/>
    <w:rsid w:val="00F46BB5"/>
    <w:rsid w:val="00F47558"/>
    <w:rsid w:val="00F51BC0"/>
    <w:rsid w:val="00F52085"/>
    <w:rsid w:val="00F52331"/>
    <w:rsid w:val="00F52380"/>
    <w:rsid w:val="00F52593"/>
    <w:rsid w:val="00F52D96"/>
    <w:rsid w:val="00F53371"/>
    <w:rsid w:val="00F5342D"/>
    <w:rsid w:val="00F54A67"/>
    <w:rsid w:val="00F572CF"/>
    <w:rsid w:val="00F6001A"/>
    <w:rsid w:val="00F608D6"/>
    <w:rsid w:val="00F60A7C"/>
    <w:rsid w:val="00F60EEC"/>
    <w:rsid w:val="00F6116C"/>
    <w:rsid w:val="00F61A13"/>
    <w:rsid w:val="00F622ED"/>
    <w:rsid w:val="00F62A23"/>
    <w:rsid w:val="00F632B0"/>
    <w:rsid w:val="00F63440"/>
    <w:rsid w:val="00F63BBD"/>
    <w:rsid w:val="00F63DF5"/>
    <w:rsid w:val="00F6428A"/>
    <w:rsid w:val="00F644AF"/>
    <w:rsid w:val="00F64664"/>
    <w:rsid w:val="00F64B84"/>
    <w:rsid w:val="00F652C2"/>
    <w:rsid w:val="00F66192"/>
    <w:rsid w:val="00F669DD"/>
    <w:rsid w:val="00F66B92"/>
    <w:rsid w:val="00F67028"/>
    <w:rsid w:val="00F67766"/>
    <w:rsid w:val="00F7016A"/>
    <w:rsid w:val="00F703EA"/>
    <w:rsid w:val="00F7053A"/>
    <w:rsid w:val="00F705DA"/>
    <w:rsid w:val="00F70E29"/>
    <w:rsid w:val="00F70E73"/>
    <w:rsid w:val="00F71B08"/>
    <w:rsid w:val="00F7221A"/>
    <w:rsid w:val="00F730CE"/>
    <w:rsid w:val="00F745FB"/>
    <w:rsid w:val="00F74D7F"/>
    <w:rsid w:val="00F74E91"/>
    <w:rsid w:val="00F75877"/>
    <w:rsid w:val="00F76291"/>
    <w:rsid w:val="00F76C1D"/>
    <w:rsid w:val="00F76C48"/>
    <w:rsid w:val="00F7782C"/>
    <w:rsid w:val="00F77995"/>
    <w:rsid w:val="00F808A1"/>
    <w:rsid w:val="00F81786"/>
    <w:rsid w:val="00F8184B"/>
    <w:rsid w:val="00F81F78"/>
    <w:rsid w:val="00F8378A"/>
    <w:rsid w:val="00F83947"/>
    <w:rsid w:val="00F83D34"/>
    <w:rsid w:val="00F85387"/>
    <w:rsid w:val="00F85C13"/>
    <w:rsid w:val="00F85E0D"/>
    <w:rsid w:val="00F87557"/>
    <w:rsid w:val="00F87F43"/>
    <w:rsid w:val="00F9250D"/>
    <w:rsid w:val="00F93489"/>
    <w:rsid w:val="00F938A5"/>
    <w:rsid w:val="00F93C80"/>
    <w:rsid w:val="00F9511F"/>
    <w:rsid w:val="00F95BFE"/>
    <w:rsid w:val="00F96D2E"/>
    <w:rsid w:val="00F96EE0"/>
    <w:rsid w:val="00FA05CD"/>
    <w:rsid w:val="00FA16C7"/>
    <w:rsid w:val="00FA1C6A"/>
    <w:rsid w:val="00FA1CB0"/>
    <w:rsid w:val="00FA32D3"/>
    <w:rsid w:val="00FA3804"/>
    <w:rsid w:val="00FA3909"/>
    <w:rsid w:val="00FA63F0"/>
    <w:rsid w:val="00FA6944"/>
    <w:rsid w:val="00FA7A63"/>
    <w:rsid w:val="00FB0C1E"/>
    <w:rsid w:val="00FB0FB8"/>
    <w:rsid w:val="00FB1119"/>
    <w:rsid w:val="00FB19A2"/>
    <w:rsid w:val="00FB2E00"/>
    <w:rsid w:val="00FB39D9"/>
    <w:rsid w:val="00FB40D4"/>
    <w:rsid w:val="00FB48EF"/>
    <w:rsid w:val="00FB4D85"/>
    <w:rsid w:val="00FB4E13"/>
    <w:rsid w:val="00FB4E85"/>
    <w:rsid w:val="00FB6161"/>
    <w:rsid w:val="00FB6747"/>
    <w:rsid w:val="00FB6AF6"/>
    <w:rsid w:val="00FB72BD"/>
    <w:rsid w:val="00FC0050"/>
    <w:rsid w:val="00FC1CE9"/>
    <w:rsid w:val="00FC2236"/>
    <w:rsid w:val="00FC225E"/>
    <w:rsid w:val="00FC3914"/>
    <w:rsid w:val="00FC410F"/>
    <w:rsid w:val="00FC42D6"/>
    <w:rsid w:val="00FC4680"/>
    <w:rsid w:val="00FC4ACB"/>
    <w:rsid w:val="00FC4C01"/>
    <w:rsid w:val="00FC506A"/>
    <w:rsid w:val="00FC532E"/>
    <w:rsid w:val="00FC5E67"/>
    <w:rsid w:val="00FC723E"/>
    <w:rsid w:val="00FC728C"/>
    <w:rsid w:val="00FC76FB"/>
    <w:rsid w:val="00FD00E6"/>
    <w:rsid w:val="00FD012C"/>
    <w:rsid w:val="00FD0606"/>
    <w:rsid w:val="00FD1061"/>
    <w:rsid w:val="00FD14CC"/>
    <w:rsid w:val="00FD16D3"/>
    <w:rsid w:val="00FD1D99"/>
    <w:rsid w:val="00FD1FFA"/>
    <w:rsid w:val="00FD30C2"/>
    <w:rsid w:val="00FD524A"/>
    <w:rsid w:val="00FD54EB"/>
    <w:rsid w:val="00FD5C3D"/>
    <w:rsid w:val="00FD5D53"/>
    <w:rsid w:val="00FD6067"/>
    <w:rsid w:val="00FD64DA"/>
    <w:rsid w:val="00FD6E1F"/>
    <w:rsid w:val="00FE025A"/>
    <w:rsid w:val="00FE08AE"/>
    <w:rsid w:val="00FE0B9B"/>
    <w:rsid w:val="00FE1012"/>
    <w:rsid w:val="00FE12E4"/>
    <w:rsid w:val="00FE1A76"/>
    <w:rsid w:val="00FE1EA5"/>
    <w:rsid w:val="00FE3F72"/>
    <w:rsid w:val="00FE4FEB"/>
    <w:rsid w:val="00FE5CDE"/>
    <w:rsid w:val="00FE5D54"/>
    <w:rsid w:val="00FE628D"/>
    <w:rsid w:val="00FE7909"/>
    <w:rsid w:val="00FE7B3C"/>
    <w:rsid w:val="00FE7CCB"/>
    <w:rsid w:val="00FF1476"/>
    <w:rsid w:val="00FF268C"/>
    <w:rsid w:val="00FF3148"/>
    <w:rsid w:val="00FF3C46"/>
    <w:rsid w:val="00FF5F20"/>
    <w:rsid w:val="00FF61A0"/>
    <w:rsid w:val="00FF640C"/>
    <w:rsid w:val="00FF66E2"/>
    <w:rsid w:val="00FF6DAF"/>
    <w:rsid w:val="00FF7056"/>
    <w:rsid w:val="00FF71A6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chartTrackingRefBased/>
  <w15:docId w15:val="{64729DD9-44BC-47AF-BB17-E67C11BB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ind w:left="1440" w:firstLine="72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caps/>
      <w:sz w:val="22"/>
      <w:szCs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Comic Sans MS" w:hAnsi="Comic Sans MS"/>
      <w:b/>
      <w:bCs/>
      <w:i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</w:style>
  <w:style w:type="paragraph" w:styleId="Footer">
    <w:name w:val="footer"/>
    <w:basedOn w:val="Normal"/>
    <w:link w:val="FooterChar"/>
    <w:uiPriority w:val="99"/>
    <w:pPr>
      <w:widowControl w:val="0"/>
      <w:tabs>
        <w:tab w:val="center" w:pos="4320"/>
        <w:tab w:val="right" w:pos="8640"/>
      </w:tabs>
    </w:pPr>
    <w:rPr>
      <w:sz w:val="20"/>
      <w:szCs w:val="20"/>
      <w:lang w:val="en-GB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customStyle="1" w:styleId="font5">
    <w:name w:val="font5"/>
    <w:basedOn w:val="Normal"/>
    <w:pPr>
      <w:autoSpaceDE/>
      <w:autoSpaceDN/>
      <w:spacing w:before="100" w:beforeAutospacing="1" w:after="100" w:afterAutospacing="1"/>
    </w:pPr>
    <w:rPr>
      <w:rFonts w:ascii="Tahoma" w:eastAsia="Arial Unicode MS" w:hAnsi="Tahoma"/>
      <w:color w:val="000000"/>
      <w:sz w:val="16"/>
      <w:szCs w:val="16"/>
    </w:rPr>
  </w:style>
  <w:style w:type="paragraph" w:customStyle="1" w:styleId="font6">
    <w:name w:val="font6"/>
    <w:basedOn w:val="Normal"/>
    <w:pPr>
      <w:autoSpaceDE/>
      <w:autoSpaceDN/>
      <w:spacing w:before="100" w:beforeAutospacing="1" w:after="100" w:afterAutospacing="1"/>
    </w:pPr>
    <w:rPr>
      <w:rFonts w:ascii="Tahoma" w:eastAsia="Arial Unicode MS" w:hAnsi="Tahoma"/>
      <w:b/>
      <w:bCs/>
      <w:color w:val="000000"/>
      <w:sz w:val="16"/>
      <w:szCs w:val="16"/>
    </w:rPr>
  </w:style>
  <w:style w:type="paragraph" w:customStyle="1" w:styleId="xl24">
    <w:name w:val="xl24"/>
    <w:basedOn w:val="Normal"/>
    <w:pPr>
      <w:shd w:val="clear" w:color="auto" w:fill="FFFFFF"/>
      <w:autoSpaceDE/>
      <w:autoSpaceDN/>
      <w:spacing w:before="100" w:beforeAutospacing="1" w:after="100" w:afterAutospacing="1"/>
    </w:pPr>
    <w:rPr>
      <w:rFonts w:ascii="Arial" w:eastAsia="Arial Unicode MS" w:hAnsi="Arial"/>
      <w:sz w:val="18"/>
      <w:szCs w:val="18"/>
    </w:rPr>
  </w:style>
  <w:style w:type="paragraph" w:customStyle="1" w:styleId="xl25">
    <w:name w:val="xl25"/>
    <w:basedOn w:val="Normal"/>
    <w:pPr>
      <w:pBdr>
        <w:bottom w:val="single" w:sz="4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" w:eastAsia="Arial Unicode MS" w:hAnsi="Arial"/>
      <w:sz w:val="18"/>
      <w:szCs w:val="18"/>
    </w:rPr>
  </w:style>
  <w:style w:type="paragraph" w:customStyle="1" w:styleId="xl26">
    <w:name w:val="xl26"/>
    <w:basedOn w:val="Normal"/>
    <w:pPr>
      <w:shd w:val="clear" w:color="auto" w:fill="FFFFFF"/>
      <w:autoSpaceDE/>
      <w:autoSpaceDN/>
      <w:spacing w:before="100" w:beforeAutospacing="1" w:after="100" w:afterAutospacing="1"/>
    </w:pPr>
    <w:rPr>
      <w:rFonts w:ascii="Arial" w:eastAsia="Arial Unicode MS" w:hAnsi="Arial"/>
      <w:color w:val="0000FF"/>
      <w:sz w:val="16"/>
      <w:szCs w:val="16"/>
    </w:rPr>
  </w:style>
  <w:style w:type="paragraph" w:customStyle="1" w:styleId="xl27">
    <w:name w:val="xl27"/>
    <w:basedOn w:val="Normal"/>
    <w:pPr>
      <w:shd w:val="clear" w:color="auto" w:fill="FFFFFF"/>
      <w:autoSpaceDE/>
      <w:autoSpaceDN/>
      <w:spacing w:before="100" w:beforeAutospacing="1" w:after="100" w:afterAutospacing="1"/>
    </w:pPr>
    <w:rPr>
      <w:rFonts w:ascii="Arial" w:eastAsia="Arial Unicode MS" w:hAnsi="Arial"/>
      <w:b/>
      <w:bCs/>
      <w:color w:val="0000FF"/>
      <w:sz w:val="16"/>
      <w:szCs w:val="16"/>
    </w:rPr>
  </w:style>
  <w:style w:type="paragraph" w:customStyle="1" w:styleId="xl28">
    <w:name w:val="xl28"/>
    <w:basedOn w:val="Normal"/>
    <w:pPr>
      <w:pBdr>
        <w:top w:val="single" w:sz="4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" w:eastAsia="Arial Unicode MS" w:hAnsi="Arial"/>
      <w:sz w:val="18"/>
      <w:szCs w:val="18"/>
    </w:rPr>
  </w:style>
  <w:style w:type="paragraph" w:customStyle="1" w:styleId="xl29">
    <w:name w:val="xl29"/>
    <w:basedOn w:val="Normal"/>
    <w:pPr>
      <w:pBdr>
        <w:top w:val="single" w:sz="4" w:space="0" w:color="auto"/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" w:eastAsia="Arial Unicode MS" w:hAnsi="Arial"/>
      <w:sz w:val="18"/>
      <w:szCs w:val="18"/>
    </w:rPr>
  </w:style>
  <w:style w:type="paragraph" w:customStyle="1" w:styleId="xl30">
    <w:name w:val="xl30"/>
    <w:basedOn w:val="Normal"/>
    <w:pPr>
      <w:pBdr>
        <w:bottom w:val="single" w:sz="4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xl31">
    <w:name w:val="xl31"/>
    <w:basedOn w:val="Normal"/>
    <w:pPr>
      <w:pBdr>
        <w:top w:val="single" w:sz="8" w:space="0" w:color="auto"/>
        <w:left w:val="single" w:sz="8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xl32">
    <w:name w:val="xl32"/>
    <w:basedOn w:val="Normal"/>
    <w:pPr>
      <w:pBdr>
        <w:top w:val="single" w:sz="8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xl33">
    <w:name w:val="xl33"/>
    <w:basedOn w:val="Normal"/>
    <w:pPr>
      <w:pBdr>
        <w:top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xl34">
    <w:name w:val="xl34"/>
    <w:basedOn w:val="Normal"/>
    <w:pPr>
      <w:pBdr>
        <w:left w:val="single" w:sz="8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xl35">
    <w:name w:val="xl35"/>
    <w:basedOn w:val="Normal"/>
    <w:pPr>
      <w:pBdr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xl36">
    <w:name w:val="xl36"/>
    <w:basedOn w:val="Normal"/>
    <w:pPr>
      <w:pBdr>
        <w:left w:val="single" w:sz="8" w:space="0" w:color="auto"/>
        <w:bottom w:val="single" w:sz="4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8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xl38">
    <w:name w:val="xl38"/>
    <w:basedOn w:val="Normal"/>
    <w:pPr>
      <w:pBdr>
        <w:top w:val="single" w:sz="4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xl39">
    <w:name w:val="xl39"/>
    <w:basedOn w:val="Normal"/>
    <w:pPr>
      <w:pBdr>
        <w:left w:val="single" w:sz="8" w:space="0" w:color="auto"/>
        <w:bottom w:val="single" w:sz="8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xl40">
    <w:name w:val="xl40"/>
    <w:basedOn w:val="Normal"/>
    <w:pPr>
      <w:pBdr>
        <w:bottom w:val="single" w:sz="8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xl41">
    <w:name w:val="xl41"/>
    <w:basedOn w:val="Normal"/>
    <w:pPr>
      <w:pBdr>
        <w:bottom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xl42">
    <w:name w:val="xl42"/>
    <w:basedOn w:val="Normal"/>
    <w:pPr>
      <w:shd w:val="clear" w:color="auto" w:fill="FFFFFF"/>
      <w:autoSpaceDE/>
      <w:autoSpaceDN/>
      <w:spacing w:before="100" w:beforeAutospacing="1" w:after="100" w:afterAutospacing="1"/>
    </w:pPr>
    <w:rPr>
      <w:rFonts w:ascii="Arial" w:eastAsia="Arial Unicode MS" w:hAnsi="Arial"/>
      <w:sz w:val="16"/>
      <w:szCs w:val="16"/>
    </w:rPr>
  </w:style>
  <w:style w:type="paragraph" w:customStyle="1" w:styleId="xl43">
    <w:name w:val="xl43"/>
    <w:basedOn w:val="Normal"/>
    <w:pPr>
      <w:shd w:val="clear" w:color="auto" w:fill="FFFFFF"/>
      <w:autoSpaceDE/>
      <w:autoSpaceDN/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xl44">
    <w:name w:val="xl44"/>
    <w:basedOn w:val="Normal"/>
    <w:pPr>
      <w:shd w:val="clear" w:color="auto" w:fill="FFFFFF"/>
      <w:autoSpaceDE/>
      <w:autoSpaceDN/>
      <w:spacing w:before="100" w:beforeAutospacing="1" w:after="100" w:afterAutospacing="1"/>
    </w:pPr>
    <w:rPr>
      <w:rFonts w:ascii="Arial" w:eastAsia="Arial Unicode MS" w:hAnsi="Arial"/>
      <w:sz w:val="16"/>
      <w:szCs w:val="16"/>
    </w:rPr>
  </w:style>
  <w:style w:type="paragraph" w:customStyle="1" w:styleId="xl45">
    <w:name w:val="xl45"/>
    <w:basedOn w:val="Normal"/>
    <w:pPr>
      <w:shd w:val="clear" w:color="auto" w:fill="FFFFFF"/>
      <w:autoSpaceDE/>
      <w:autoSpaceDN/>
      <w:spacing w:before="100" w:beforeAutospacing="1" w:after="100" w:afterAutospacing="1"/>
      <w:jc w:val="right"/>
    </w:pPr>
    <w:rPr>
      <w:rFonts w:ascii="Arial" w:eastAsia="Arial Unicode MS" w:hAnsi="Arial"/>
      <w:b/>
      <w:bCs/>
      <w:color w:val="0000FF"/>
      <w:sz w:val="16"/>
      <w:szCs w:val="16"/>
    </w:rPr>
  </w:style>
  <w:style w:type="paragraph" w:customStyle="1" w:styleId="xl46">
    <w:name w:val="xl46"/>
    <w:basedOn w:val="Normal"/>
    <w:pPr>
      <w:shd w:val="clear" w:color="auto" w:fill="FFFFFF"/>
      <w:autoSpaceDE/>
      <w:autoSpaceDN/>
      <w:spacing w:before="100" w:beforeAutospacing="1" w:after="100" w:afterAutospacing="1"/>
    </w:pPr>
    <w:rPr>
      <w:rFonts w:ascii="Arial" w:eastAsia="Arial Unicode MS" w:hAnsi="Arial"/>
      <w:sz w:val="16"/>
      <w:szCs w:val="16"/>
    </w:rPr>
  </w:style>
  <w:style w:type="paragraph" w:customStyle="1" w:styleId="xl47">
    <w:name w:val="xl47"/>
    <w:basedOn w:val="Normal"/>
    <w:pPr>
      <w:pBdr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" w:eastAsia="Arial Unicode MS" w:hAnsi="Arial"/>
      <w:sz w:val="16"/>
      <w:szCs w:val="16"/>
    </w:rPr>
  </w:style>
  <w:style w:type="paragraph" w:customStyle="1" w:styleId="xl48">
    <w:name w:val="xl48"/>
    <w:basedOn w:val="Normal"/>
    <w:pPr>
      <w:pBdr>
        <w:top w:val="single" w:sz="4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" w:eastAsia="Arial Unicode MS" w:hAnsi="Arial"/>
      <w:b/>
      <w:bCs/>
      <w:color w:val="0000FF"/>
      <w:sz w:val="16"/>
      <w:szCs w:val="16"/>
    </w:rPr>
  </w:style>
  <w:style w:type="paragraph" w:customStyle="1" w:styleId="xl49">
    <w:name w:val="xl49"/>
    <w:basedOn w:val="Normal"/>
    <w:pPr>
      <w:pBdr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xl50">
    <w:name w:val="xl50"/>
    <w:basedOn w:val="Normal"/>
    <w:pPr>
      <w:pBdr>
        <w:top w:val="single" w:sz="4" w:space="0" w:color="auto"/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</w:pPr>
    <w:rPr>
      <w:rFonts w:ascii="Arial" w:eastAsia="Arial Unicode MS" w:hAnsi="Arial"/>
      <w:b/>
      <w:bCs/>
      <w:color w:val="0000FF"/>
      <w:sz w:val="16"/>
      <w:szCs w:val="16"/>
    </w:rPr>
  </w:style>
  <w:style w:type="paragraph" w:customStyle="1" w:styleId="xl51">
    <w:name w:val="xl51"/>
    <w:basedOn w:val="Normal"/>
    <w:pPr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Arial Unicode MS" w:hAnsi="Arial"/>
      <w:color w:val="FFFFFF"/>
      <w:sz w:val="18"/>
      <w:szCs w:val="18"/>
    </w:rPr>
  </w:style>
  <w:style w:type="paragraph" w:customStyle="1" w:styleId="xl52">
    <w:name w:val="xl52"/>
    <w:basedOn w:val="Normal"/>
    <w:pPr>
      <w:pBdr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Arial Unicode MS" w:hAnsi="Arial"/>
      <w:color w:val="FFFFFF"/>
    </w:rPr>
  </w:style>
  <w:style w:type="paragraph" w:customStyle="1" w:styleId="xl53">
    <w:name w:val="xl53"/>
    <w:basedOn w:val="Normal"/>
    <w:pPr>
      <w:pBdr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" w:eastAsia="Arial Unicode MS" w:hAnsi="Arial"/>
      <w:sz w:val="16"/>
      <w:szCs w:val="16"/>
    </w:rPr>
  </w:style>
  <w:style w:type="paragraph" w:customStyle="1" w:styleId="xl54">
    <w:name w:val="xl54"/>
    <w:basedOn w:val="Normal"/>
    <w:pPr>
      <w:pBdr>
        <w:top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Arial Unicode MS" w:hAnsi="Arial"/>
      <w:color w:val="FFFFFF"/>
      <w:sz w:val="18"/>
      <w:szCs w:val="18"/>
    </w:rPr>
  </w:style>
  <w:style w:type="paragraph" w:customStyle="1" w:styleId="xl55">
    <w:name w:val="xl55"/>
    <w:basedOn w:val="Normal"/>
    <w:pPr>
      <w:pBdr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" w:eastAsia="Arial Unicode MS" w:hAnsi="Arial"/>
      <w:sz w:val="18"/>
      <w:szCs w:val="18"/>
    </w:rPr>
  </w:style>
  <w:style w:type="paragraph" w:customStyle="1" w:styleId="xl56">
    <w:name w:val="xl56"/>
    <w:basedOn w:val="Normal"/>
    <w:pPr>
      <w:shd w:val="clear" w:color="auto" w:fill="FFFFFF"/>
      <w:autoSpaceDE/>
      <w:autoSpaceDN/>
      <w:spacing w:before="100" w:beforeAutospacing="1" w:after="100" w:afterAutospacing="1"/>
    </w:pPr>
    <w:rPr>
      <w:rFonts w:ascii="Arial" w:eastAsia="Arial Unicode MS" w:hAnsi="Arial"/>
      <w:b/>
      <w:bCs/>
      <w:color w:val="0000FF"/>
      <w:sz w:val="16"/>
      <w:szCs w:val="16"/>
    </w:rPr>
  </w:style>
  <w:style w:type="paragraph" w:customStyle="1" w:styleId="xl57">
    <w:name w:val="xl57"/>
    <w:basedOn w:val="Normal"/>
    <w:pPr>
      <w:pBdr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" w:eastAsia="Arial Unicode MS" w:hAnsi="Arial"/>
      <w:b/>
      <w:bCs/>
      <w:color w:val="0000FF"/>
      <w:sz w:val="16"/>
      <w:szCs w:val="16"/>
    </w:rPr>
  </w:style>
  <w:style w:type="paragraph" w:customStyle="1" w:styleId="xl58">
    <w:name w:val="xl58"/>
    <w:basedOn w:val="Normal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Arial Unicode MS" w:hAnsi="Arial"/>
      <w:b/>
      <w:bCs/>
      <w:color w:val="FFFFFF"/>
      <w:sz w:val="16"/>
      <w:szCs w:val="16"/>
    </w:rPr>
  </w:style>
  <w:style w:type="paragraph" w:customStyle="1" w:styleId="xl59">
    <w:name w:val="xl59"/>
    <w:basedOn w:val="Normal"/>
    <w:pPr>
      <w:pBdr>
        <w:top w:val="single" w:sz="4" w:space="0" w:color="auto"/>
        <w:left w:val="single" w:sz="4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" w:eastAsia="Arial Unicode MS" w:hAnsi="Arial"/>
      <w:sz w:val="18"/>
      <w:szCs w:val="18"/>
    </w:rPr>
  </w:style>
  <w:style w:type="paragraph" w:customStyle="1" w:styleId="xl60">
    <w:name w:val="xl60"/>
    <w:basedOn w:val="Normal"/>
    <w:pPr>
      <w:pBdr>
        <w:left w:val="single" w:sz="4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" w:eastAsia="Arial Unicode MS" w:hAnsi="Arial"/>
      <w:sz w:val="16"/>
      <w:szCs w:val="16"/>
    </w:rPr>
  </w:style>
  <w:style w:type="paragraph" w:customStyle="1" w:styleId="xl61">
    <w:name w:val="xl61"/>
    <w:basedOn w:val="Normal"/>
    <w:pPr>
      <w:pBdr>
        <w:left w:val="single" w:sz="4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xl62">
    <w:name w:val="xl62"/>
    <w:basedOn w:val="Normal"/>
    <w:pPr>
      <w:pBdr>
        <w:top w:val="single" w:sz="4" w:space="0" w:color="auto"/>
        <w:left w:val="single" w:sz="4" w:space="0" w:color="auto"/>
      </w:pBdr>
      <w:shd w:val="clear" w:color="auto" w:fill="FFFFFF"/>
      <w:autoSpaceDE/>
      <w:autoSpaceDN/>
      <w:spacing w:before="100" w:beforeAutospacing="1" w:after="100" w:afterAutospacing="1"/>
      <w:jc w:val="right"/>
    </w:pPr>
    <w:rPr>
      <w:rFonts w:ascii="Arial" w:eastAsia="Arial Unicode MS" w:hAnsi="Arial"/>
      <w:b/>
      <w:bCs/>
      <w:color w:val="0000FF"/>
      <w:sz w:val="16"/>
      <w:szCs w:val="16"/>
    </w:rPr>
  </w:style>
  <w:style w:type="paragraph" w:customStyle="1" w:styleId="xl63">
    <w:name w:val="xl63"/>
    <w:basedOn w:val="Normal"/>
    <w:pPr>
      <w:autoSpaceDE/>
      <w:autoSpaceDN/>
      <w:spacing w:before="100" w:beforeAutospacing="1" w:after="100" w:afterAutospacing="1"/>
      <w:jc w:val="right"/>
    </w:pPr>
    <w:rPr>
      <w:rFonts w:ascii="Arial" w:eastAsia="Arial Unicode MS" w:hAnsi="Arial"/>
      <w:b/>
      <w:bCs/>
      <w:color w:val="FFFFFF"/>
      <w:sz w:val="16"/>
      <w:szCs w:val="16"/>
    </w:rPr>
  </w:style>
  <w:style w:type="paragraph" w:customStyle="1" w:styleId="xl64">
    <w:name w:val="xl64"/>
    <w:basedOn w:val="Normal"/>
    <w:pPr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Arial" w:eastAsia="Arial Unicode MS" w:hAnsi="Arial"/>
      <w:b/>
      <w:bCs/>
      <w:color w:val="FFFFFF"/>
      <w:sz w:val="16"/>
      <w:szCs w:val="16"/>
    </w:rPr>
  </w:style>
  <w:style w:type="paragraph" w:customStyle="1" w:styleId="xl65">
    <w:name w:val="xl65"/>
    <w:basedOn w:val="Normal"/>
    <w:pPr>
      <w:pBdr>
        <w:bottom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Arial" w:eastAsia="Arial Unicode MS" w:hAnsi="Arial"/>
      <w:b/>
      <w:bCs/>
      <w:color w:val="FFFFFF"/>
      <w:sz w:val="16"/>
      <w:szCs w:val="16"/>
    </w:rPr>
  </w:style>
  <w:style w:type="paragraph" w:customStyle="1" w:styleId="xl66">
    <w:name w:val="xl66"/>
    <w:basedOn w:val="Normal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Arial" w:eastAsia="Arial Unicode MS" w:hAnsi="Arial"/>
      <w:b/>
      <w:bCs/>
      <w:color w:val="FFFFFF"/>
      <w:sz w:val="16"/>
      <w:szCs w:val="16"/>
    </w:rPr>
  </w:style>
  <w:style w:type="paragraph" w:customStyle="1" w:styleId="xl67">
    <w:name w:val="xl67"/>
    <w:basedOn w:val="Normal"/>
    <w:pPr>
      <w:pBdr>
        <w:lef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Arial Unicode MS" w:hAnsi="Arial"/>
      <w:color w:val="FFFFFF"/>
    </w:rPr>
  </w:style>
  <w:style w:type="paragraph" w:customStyle="1" w:styleId="xl68">
    <w:name w:val="xl68"/>
    <w:basedOn w:val="Normal"/>
    <w:pPr>
      <w:pBdr>
        <w:left w:val="single" w:sz="4" w:space="0" w:color="auto"/>
        <w:bottom w:val="single" w:sz="4" w:space="0" w:color="auto"/>
      </w:pBdr>
      <w:shd w:val="clear" w:color="auto" w:fill="FFFFFF"/>
      <w:autoSpaceDE/>
      <w:autoSpaceDN/>
      <w:spacing w:before="100" w:beforeAutospacing="1" w:after="100" w:afterAutospacing="1"/>
      <w:jc w:val="right"/>
    </w:pPr>
    <w:rPr>
      <w:rFonts w:ascii="Arial" w:eastAsia="Arial Unicode MS" w:hAnsi="Arial"/>
      <w:b/>
      <w:bCs/>
      <w:color w:val="0000FF"/>
      <w:sz w:val="16"/>
      <w:szCs w:val="16"/>
    </w:rPr>
  </w:style>
  <w:style w:type="paragraph" w:customStyle="1" w:styleId="xl69">
    <w:name w:val="xl69"/>
    <w:basedOn w:val="Normal"/>
    <w:pPr>
      <w:pBdr>
        <w:bottom w:val="single" w:sz="4" w:space="0" w:color="auto"/>
      </w:pBdr>
      <w:shd w:val="clear" w:color="auto" w:fill="FFFFFF"/>
      <w:autoSpaceDE/>
      <w:autoSpaceDN/>
      <w:spacing w:before="100" w:beforeAutospacing="1" w:after="100" w:afterAutospacing="1"/>
      <w:jc w:val="right"/>
    </w:pPr>
    <w:rPr>
      <w:rFonts w:ascii="Arial" w:eastAsia="Arial Unicode MS" w:hAnsi="Arial"/>
      <w:b/>
      <w:bCs/>
      <w:color w:val="0000FF"/>
      <w:sz w:val="16"/>
      <w:szCs w:val="16"/>
    </w:rPr>
  </w:style>
  <w:style w:type="paragraph" w:customStyle="1" w:styleId="xl70">
    <w:name w:val="xl70"/>
    <w:basedOn w:val="Normal"/>
    <w:pPr>
      <w:pBdr>
        <w:bottom w:val="single" w:sz="4" w:space="0" w:color="auto"/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  <w:jc w:val="right"/>
    </w:pPr>
    <w:rPr>
      <w:rFonts w:ascii="Arial" w:eastAsia="Arial Unicode MS" w:hAnsi="Arial"/>
      <w:b/>
      <w:bCs/>
      <w:color w:val="0000FF"/>
      <w:sz w:val="16"/>
      <w:szCs w:val="16"/>
    </w:rPr>
  </w:style>
  <w:style w:type="paragraph" w:customStyle="1" w:styleId="xl71">
    <w:name w:val="xl71"/>
    <w:basedOn w:val="Normal"/>
    <w:pPr>
      <w:shd w:val="clear" w:color="auto" w:fill="FFFFFF"/>
      <w:autoSpaceDE/>
      <w:autoSpaceDN/>
      <w:spacing w:before="100" w:beforeAutospacing="1" w:after="100" w:afterAutospacing="1"/>
      <w:jc w:val="right"/>
    </w:pPr>
    <w:rPr>
      <w:rFonts w:ascii="Arial" w:eastAsia="Arial Unicode MS" w:hAnsi="Arial"/>
      <w:b/>
      <w:bCs/>
      <w:color w:val="0000FF"/>
      <w:sz w:val="16"/>
      <w:szCs w:val="16"/>
    </w:rPr>
  </w:style>
  <w:style w:type="paragraph" w:customStyle="1" w:styleId="xl72">
    <w:name w:val="xl72"/>
    <w:basedOn w:val="Normal"/>
    <w:pPr>
      <w:pBdr>
        <w:top w:val="single" w:sz="4" w:space="0" w:color="auto"/>
      </w:pBdr>
      <w:shd w:val="clear" w:color="auto" w:fill="FFFFFF"/>
      <w:autoSpaceDE/>
      <w:autoSpaceDN/>
      <w:spacing w:before="100" w:beforeAutospacing="1" w:after="100" w:afterAutospacing="1"/>
      <w:jc w:val="right"/>
    </w:pPr>
    <w:rPr>
      <w:rFonts w:ascii="Arial" w:eastAsia="Arial Unicode MS" w:hAnsi="Arial"/>
      <w:b/>
      <w:bCs/>
      <w:color w:val="0000FF"/>
      <w:sz w:val="16"/>
      <w:szCs w:val="16"/>
    </w:rPr>
  </w:style>
  <w:style w:type="paragraph" w:customStyle="1" w:styleId="xl73">
    <w:name w:val="xl73"/>
    <w:basedOn w:val="Normal"/>
    <w:pPr>
      <w:pBdr>
        <w:bottom w:val="single" w:sz="4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" w:eastAsia="Arial Unicode MS" w:hAnsi="Arial"/>
      <w:b/>
      <w:bCs/>
      <w:color w:val="0000FF"/>
      <w:sz w:val="16"/>
      <w:szCs w:val="16"/>
    </w:rPr>
  </w:style>
  <w:style w:type="paragraph" w:customStyle="1" w:styleId="xl74">
    <w:name w:val="xl74"/>
    <w:basedOn w:val="Normal"/>
    <w:pPr>
      <w:pBdr>
        <w:bottom w:val="single" w:sz="4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jc w:val="right"/>
    </w:pPr>
    <w:rPr>
      <w:rFonts w:ascii="Arial" w:eastAsia="Arial Unicode MS" w:hAnsi="Arial"/>
      <w:b/>
      <w:bCs/>
      <w:color w:val="0000FF"/>
      <w:sz w:val="16"/>
      <w:szCs w:val="16"/>
    </w:rPr>
  </w:style>
  <w:style w:type="paragraph" w:customStyle="1" w:styleId="xl75">
    <w:name w:val="xl75"/>
    <w:basedOn w:val="Normal"/>
    <w:pPr>
      <w:pBdr>
        <w:left w:val="single" w:sz="4" w:space="0" w:color="auto"/>
        <w:bottom w:val="single" w:sz="8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xl76">
    <w:name w:val="xl76"/>
    <w:basedOn w:val="Normal"/>
    <w:pPr>
      <w:pBdr>
        <w:bottom w:val="single" w:sz="8" w:space="0" w:color="auto"/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 Unicode MS" w:eastAsia="Arial Unicode MS" w:hAnsi="Arial Unicode MS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text">
    <w:name w:val="text"/>
    <w:basedOn w:val="DefaultParagraphFont"/>
  </w:style>
  <w:style w:type="paragraph" w:styleId="BodyTextIndent">
    <w:name w:val="Body Text Indent"/>
    <w:basedOn w:val="Normal"/>
    <w:pPr>
      <w:autoSpaceDE/>
      <w:autoSpaceDN/>
      <w:spacing w:after="120"/>
      <w:ind w:left="360"/>
    </w:pPr>
    <w:rPr>
      <w:lang w:val="en-GB"/>
    </w:rPr>
  </w:style>
  <w:style w:type="paragraph" w:styleId="PlainText">
    <w:name w:val="Plain Text"/>
    <w:basedOn w:val="Normal"/>
    <w:rsid w:val="000F54F4"/>
    <w:pPr>
      <w:autoSpaceDE/>
      <w:autoSpaceDN/>
    </w:pPr>
    <w:rPr>
      <w:rFonts w:ascii="Courier New" w:hAnsi="Courier New" w:cs="Courier New"/>
      <w:sz w:val="20"/>
      <w:szCs w:val="20"/>
      <w:lang w:val="fr-FR" w:eastAsia="fr-FR"/>
    </w:rPr>
  </w:style>
  <w:style w:type="table" w:styleId="TableGrid">
    <w:name w:val="Table Grid"/>
    <w:basedOn w:val="TableNormal"/>
    <w:rsid w:val="00D165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451A5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451A58"/>
    <w:rPr>
      <w:rFonts w:ascii="Tahoma" w:hAnsi="Tahoma" w:cs="Tahoma"/>
      <w:sz w:val="16"/>
      <w:szCs w:val="16"/>
    </w:rPr>
  </w:style>
  <w:style w:type="character" w:customStyle="1" w:styleId="bernard">
    <w:name w:val="bernard"/>
    <w:semiHidden/>
    <w:rsid w:val="008D16E0"/>
    <w:rPr>
      <w:rFonts w:ascii="Arial" w:hAnsi="Arial" w:cs="Arial"/>
      <w:color w:val="000080"/>
      <w:sz w:val="20"/>
      <w:szCs w:val="20"/>
    </w:rPr>
  </w:style>
  <w:style w:type="paragraph" w:styleId="ListParagraph">
    <w:name w:val="List Paragraph"/>
    <w:basedOn w:val="Normal"/>
    <w:uiPriority w:val="34"/>
    <w:qFormat/>
    <w:rsid w:val="005E5423"/>
    <w:pPr>
      <w:autoSpaceDE/>
      <w:autoSpaceDN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8F2549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E11E08"/>
    <w:pPr>
      <w:autoSpaceDE/>
      <w:autoSpaceDN/>
      <w:spacing w:before="100" w:beforeAutospacing="1" w:after="100" w:afterAutospacing="1"/>
    </w:pPr>
    <w:rPr>
      <w:lang w:val="nl-BE" w:eastAsia="nl-BE"/>
    </w:rPr>
  </w:style>
  <w:style w:type="paragraph" w:styleId="Caption">
    <w:name w:val="caption"/>
    <w:basedOn w:val="Normal"/>
    <w:next w:val="Normal"/>
    <w:uiPriority w:val="35"/>
    <w:unhideWhenUsed/>
    <w:qFormat/>
    <w:rsid w:val="009246C8"/>
    <w:pPr>
      <w:autoSpaceDE/>
      <w:autoSpaceDN/>
      <w:spacing w:after="200"/>
    </w:pPr>
    <w:rPr>
      <w:rFonts w:ascii="Calibri" w:eastAsia="Calibri" w:hAnsi="Calibri"/>
      <w:b/>
      <w:bCs/>
      <w:color w:val="4F81BD"/>
      <w:sz w:val="18"/>
      <w:szCs w:val="18"/>
      <w:lang w:val="en-GB"/>
    </w:rPr>
  </w:style>
  <w:style w:type="character" w:customStyle="1" w:styleId="FootnoteTextChar">
    <w:name w:val="Footnote Text Char"/>
    <w:link w:val="FootnoteText"/>
    <w:uiPriority w:val="99"/>
    <w:semiHidden/>
    <w:rsid w:val="009246C8"/>
    <w:rPr>
      <w:lang w:val="en-US" w:eastAsia="en-US"/>
    </w:rPr>
  </w:style>
  <w:style w:type="paragraph" w:styleId="DocumentMap">
    <w:name w:val="Document Map"/>
    <w:basedOn w:val="Normal"/>
    <w:link w:val="DocumentMapChar"/>
    <w:rsid w:val="00104F7D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104F7D"/>
    <w:rPr>
      <w:rFonts w:ascii="Tahoma" w:hAnsi="Tahoma" w:cs="Tahoma"/>
      <w:sz w:val="16"/>
      <w:szCs w:val="16"/>
      <w:lang w:val="en-US" w:eastAsia="en-US"/>
    </w:rPr>
  </w:style>
  <w:style w:type="paragraph" w:styleId="EndnoteText">
    <w:name w:val="endnote text"/>
    <w:basedOn w:val="Normal"/>
    <w:link w:val="EndnoteTextChar"/>
    <w:rsid w:val="00477B2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477B24"/>
  </w:style>
  <w:style w:type="character" w:styleId="EndnoteReference">
    <w:name w:val="endnote reference"/>
    <w:rsid w:val="00477B24"/>
    <w:rPr>
      <w:vertAlign w:val="superscript"/>
    </w:rPr>
  </w:style>
  <w:style w:type="character" w:styleId="CommentReference">
    <w:name w:val="annotation reference"/>
    <w:rsid w:val="008441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41F9"/>
    <w:rPr>
      <w:sz w:val="20"/>
      <w:szCs w:val="20"/>
    </w:rPr>
  </w:style>
  <w:style w:type="character" w:customStyle="1" w:styleId="CommentTextChar">
    <w:name w:val="Comment Text Char"/>
    <w:link w:val="CommentText"/>
    <w:rsid w:val="008441F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441F9"/>
    <w:rPr>
      <w:b/>
      <w:bCs/>
    </w:rPr>
  </w:style>
  <w:style w:type="character" w:customStyle="1" w:styleId="CommentSubjectChar">
    <w:name w:val="Comment Subject Char"/>
    <w:link w:val="CommentSubject"/>
    <w:rsid w:val="008441F9"/>
    <w:rPr>
      <w:b/>
      <w:bCs/>
      <w:lang w:val="en-US" w:eastAsia="en-US"/>
    </w:rPr>
  </w:style>
  <w:style w:type="character" w:styleId="Emphasis">
    <w:name w:val="Emphasis"/>
    <w:basedOn w:val="DefaultParagraphFont"/>
    <w:uiPriority w:val="20"/>
    <w:qFormat/>
    <w:rsid w:val="00FC53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3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png"/><Relationship Id="rId18" Type="http://schemas.openxmlformats.org/officeDocument/2006/relationships/image" Target="media/image9.emf"/><Relationship Id="rId26" Type="http://schemas.openxmlformats.org/officeDocument/2006/relationships/image" Target="media/image17.png"/><Relationship Id="rId39" Type="http://schemas.openxmlformats.org/officeDocument/2006/relationships/image" Target="media/image30.emf"/><Relationship Id="rId3" Type="http://schemas.openxmlformats.org/officeDocument/2006/relationships/styles" Target="styles.xml"/><Relationship Id="rId21" Type="http://schemas.openxmlformats.org/officeDocument/2006/relationships/image" Target="media/image12.emf"/><Relationship Id="rId34" Type="http://schemas.openxmlformats.org/officeDocument/2006/relationships/image" Target="media/image25.pn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emf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emf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emf"/><Relationship Id="rId29" Type="http://schemas.openxmlformats.org/officeDocument/2006/relationships/image" Target="media/image20.emf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emf"/><Relationship Id="rId36" Type="http://schemas.openxmlformats.org/officeDocument/2006/relationships/image" Target="media/image27.png"/><Relationship Id="rId10" Type="http://schemas.openxmlformats.org/officeDocument/2006/relationships/hyperlink" Target="http://www.efama.org" TargetMode="External"/><Relationship Id="rId19" Type="http://schemas.openxmlformats.org/officeDocument/2006/relationships/image" Target="media/image10.png"/><Relationship Id="rId31" Type="http://schemas.openxmlformats.org/officeDocument/2006/relationships/image" Target="media/image2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emf"/><Relationship Id="rId35" Type="http://schemas.openxmlformats.org/officeDocument/2006/relationships/image" Target="media/image26.pn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C1C0F-5375-4957-A7C6-5EE6CA10D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1906</TotalTime>
  <Pages>14</Pages>
  <Words>1449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EFAMA</Company>
  <LinksUpToDate>false</LinksUpToDate>
  <CharactersWithSpaces>8796</CharactersWithSpaces>
  <SharedDoc>false</SharedDoc>
  <HLinks>
    <vt:vector size="6" baseType="variant">
      <vt:variant>
        <vt:i4>4587527</vt:i4>
      </vt:variant>
      <vt:variant>
        <vt:i4>3</vt:i4>
      </vt:variant>
      <vt:variant>
        <vt:i4>0</vt:i4>
      </vt:variant>
      <vt:variant>
        <vt:i4>5</vt:i4>
      </vt:variant>
      <vt:variant>
        <vt:lpwstr>http://www.efama.org/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 Delbecque</dc:creator>
  <cp:keywords/>
  <dc:description/>
  <cp:lastModifiedBy>Bernard Delbecque</cp:lastModifiedBy>
  <cp:revision>140</cp:revision>
  <cp:lastPrinted>2018-05-31T08:16:00Z</cp:lastPrinted>
  <dcterms:created xsi:type="dcterms:W3CDTF">2017-06-07T10:20:00Z</dcterms:created>
  <dcterms:modified xsi:type="dcterms:W3CDTF">2018-06-05T12:34:00Z</dcterms:modified>
</cp:coreProperties>
</file>