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B157D" w14:textId="77777777" w:rsidR="00BE2045" w:rsidRDefault="00BE2045">
      <w:pPr>
        <w:pStyle w:val="Footer"/>
        <w:spacing w:line="36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6"/>
      </w:tblGrid>
      <w:tr w:rsidR="00BE2045" w:rsidRPr="001B65E9" w14:paraId="51D3D059" w14:textId="77777777">
        <w:trPr>
          <w:trHeight w:val="1898"/>
        </w:trPr>
        <w:tc>
          <w:tcPr>
            <w:tcW w:w="9923" w:type="dxa"/>
            <w:tcBorders>
              <w:top w:val="single" w:sz="4" w:space="0" w:color="auto"/>
              <w:left w:val="single" w:sz="4" w:space="0" w:color="auto"/>
              <w:bottom w:val="single" w:sz="4" w:space="0" w:color="auto"/>
              <w:right w:val="single" w:sz="4" w:space="0" w:color="auto"/>
            </w:tcBorders>
          </w:tcPr>
          <w:p w14:paraId="0F2402B4" w14:textId="77777777" w:rsidR="00BE2045" w:rsidRPr="001B65E9" w:rsidRDefault="00BE2045">
            <w:pPr>
              <w:pStyle w:val="Footer"/>
              <w:spacing w:line="360" w:lineRule="auto"/>
              <w:jc w:val="right"/>
              <w:rPr>
                <w:b/>
                <w:bCs/>
                <w:sz w:val="24"/>
                <w:szCs w:val="24"/>
                <w14:shadow w14:blurRad="50800" w14:dist="38100" w14:dir="2700000" w14:sx="100000" w14:sy="100000" w14:kx="0" w14:ky="0" w14:algn="tl">
                  <w14:srgbClr w14:val="000000">
                    <w14:alpha w14:val="60000"/>
                  </w14:srgbClr>
                </w14:shadow>
              </w:rPr>
            </w:pPr>
          </w:p>
          <w:p w14:paraId="73885FE5" w14:textId="77777777" w:rsidR="00BE2045" w:rsidRPr="001B65E9" w:rsidRDefault="00BE2045" w:rsidP="004F702B">
            <w:pPr>
              <w:pStyle w:val="Footer"/>
              <w:spacing w:line="360" w:lineRule="auto"/>
              <w:rPr>
                <w:b/>
                <w:bCs/>
                <w:sz w:val="24"/>
                <w:szCs w:val="24"/>
                <w14:shadow w14:blurRad="50800" w14:dist="38100" w14:dir="2700000" w14:sx="100000" w14:sy="100000" w14:kx="0" w14:ky="0" w14:algn="tl">
                  <w14:srgbClr w14:val="000000">
                    <w14:alpha w14:val="60000"/>
                  </w14:srgbClr>
                </w14:shadow>
              </w:rPr>
            </w:pPr>
            <w:r>
              <w:object w:dxaOrig="5227" w:dyaOrig="2851" w14:anchorId="5DCD8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in" o:ole="">
                  <v:imagedata r:id="rId8" o:title=""/>
                </v:shape>
                <o:OLEObject Type="Embed" ProgID="DellImageExpertImage" ShapeID="_x0000_i1025" DrawAspect="Content" ObjectID="_1621069813" r:id="rId9"/>
              </w:object>
            </w:r>
            <w:r w:rsidR="009D5D6A">
              <w:t xml:space="preserve">                     </w:t>
            </w:r>
            <w:r>
              <w:t xml:space="preserve"> </w:t>
            </w:r>
            <w:r w:rsidR="004F702B">
              <w:t xml:space="preserve">                    </w:t>
            </w:r>
            <w:r>
              <w:rPr>
                <w:b/>
                <w:bCs/>
                <w:i/>
                <w:iCs/>
                <w:sz w:val="40"/>
                <w:szCs w:val="40"/>
                <w:lang w:val="en-US"/>
              </w:rPr>
              <w:t>Quarterly Statistical Release</w:t>
            </w:r>
            <w:r w:rsidR="009D5D6A">
              <w:t xml:space="preserve"> </w:t>
            </w:r>
            <w:r>
              <w:t xml:space="preserve"> </w:t>
            </w:r>
          </w:p>
        </w:tc>
      </w:tr>
    </w:tbl>
    <w:p w14:paraId="45ECBF6C" w14:textId="77777777" w:rsidR="004B44B7" w:rsidRPr="001B65E9" w:rsidRDefault="004B44B7">
      <w:pPr>
        <w:pStyle w:val="Footer"/>
        <w:spacing w:line="360" w:lineRule="auto"/>
        <w:jc w:val="right"/>
        <w:rPr>
          <w:b/>
          <w:bCs/>
          <w:sz w:val="24"/>
          <w:szCs w:val="24"/>
          <w:lang w:val="en-US"/>
          <w14:shadow w14:blurRad="50800" w14:dist="38100" w14:dir="2700000" w14:sx="100000" w14:sy="100000" w14:kx="0" w14:ky="0" w14:algn="tl">
            <w14:srgbClr w14:val="000000">
              <w14:alpha w14:val="60000"/>
            </w14:srgbClr>
          </w14:shadow>
        </w:rPr>
      </w:pPr>
    </w:p>
    <w:p w14:paraId="26786AF4" w14:textId="12341AFF" w:rsidR="00BE2045" w:rsidRPr="00266F40" w:rsidRDefault="004B3524">
      <w:pPr>
        <w:pStyle w:val="Footer"/>
        <w:spacing w:line="360" w:lineRule="auto"/>
        <w:jc w:val="right"/>
        <w:rPr>
          <w:rFonts w:ascii="Comic Sans MS" w:hAnsi="Comic Sans MS"/>
        </w:rPr>
      </w:pPr>
      <w:r>
        <w:rPr>
          <w:b/>
          <w:bCs/>
          <w:sz w:val="24"/>
          <w:szCs w:val="24"/>
          <w:lang w:val="en-US"/>
          <w14:shadow w14:blurRad="50800" w14:dist="38100" w14:dir="2700000" w14:sx="100000" w14:sy="100000" w14:kx="0" w14:ky="0" w14:algn="tl">
            <w14:srgbClr w14:val="000000">
              <w14:alpha w14:val="60000"/>
            </w14:srgbClr>
          </w14:shadow>
        </w:rPr>
        <w:t>June</w:t>
      </w:r>
      <w:r w:rsidR="003F103A" w:rsidRPr="00266F40">
        <w:rPr>
          <w:b/>
          <w:bCs/>
          <w:sz w:val="24"/>
          <w:szCs w:val="24"/>
          <w:lang w:val="en-US"/>
          <w14:shadow w14:blurRad="50800" w14:dist="38100" w14:dir="2700000" w14:sx="100000" w14:sy="100000" w14:kx="0" w14:ky="0" w14:algn="tl">
            <w14:srgbClr w14:val="000000">
              <w14:alpha w14:val="60000"/>
            </w14:srgbClr>
          </w14:shadow>
        </w:rPr>
        <w:t xml:space="preserve"> </w:t>
      </w:r>
      <w:r w:rsidR="001C2BB5" w:rsidRPr="00266F40">
        <w:rPr>
          <w:b/>
          <w:bCs/>
          <w:sz w:val="24"/>
          <w:szCs w:val="24"/>
          <w14:shadow w14:blurRad="50800" w14:dist="38100" w14:dir="2700000" w14:sx="100000" w14:sy="100000" w14:kx="0" w14:ky="0" w14:algn="tl">
            <w14:srgbClr w14:val="000000">
              <w14:alpha w14:val="60000"/>
            </w14:srgbClr>
          </w14:shadow>
        </w:rPr>
        <w:t>20</w:t>
      </w:r>
      <w:r w:rsidR="008D01FF" w:rsidRPr="00266F40">
        <w:rPr>
          <w:b/>
          <w:bCs/>
          <w:sz w:val="24"/>
          <w:szCs w:val="24"/>
          <w14:shadow w14:blurRad="50800" w14:dist="38100" w14:dir="2700000" w14:sx="100000" w14:sy="100000" w14:kx="0" w14:ky="0" w14:algn="tl">
            <w14:srgbClr w14:val="000000">
              <w14:alpha w14:val="60000"/>
            </w14:srgbClr>
          </w14:shadow>
        </w:rPr>
        <w:t>1</w:t>
      </w:r>
      <w:r w:rsidR="0091361F">
        <w:rPr>
          <w:b/>
          <w:bCs/>
          <w:sz w:val="24"/>
          <w:szCs w:val="24"/>
          <w14:shadow w14:blurRad="50800" w14:dist="38100" w14:dir="2700000" w14:sx="100000" w14:sy="100000" w14:kx="0" w14:ky="0" w14:algn="tl">
            <w14:srgbClr w14:val="000000">
              <w14:alpha w14:val="60000"/>
            </w14:srgbClr>
          </w14:shadow>
        </w:rPr>
        <w:t>9</w:t>
      </w:r>
      <w:r w:rsidR="00BE2045" w:rsidRPr="00266F40">
        <w:rPr>
          <w:b/>
          <w:bCs/>
          <w:sz w:val="24"/>
          <w:szCs w:val="24"/>
          <w14:shadow w14:blurRad="50800" w14:dist="38100" w14:dir="2700000" w14:sx="100000" w14:sy="100000" w14:kx="0" w14:ky="0" w14:algn="tl">
            <w14:srgbClr w14:val="000000">
              <w14:alpha w14:val="60000"/>
            </w14:srgbClr>
          </w14:shadow>
        </w:rPr>
        <w:t xml:space="preserve">, N° </w:t>
      </w:r>
      <w:r w:rsidR="00266F40" w:rsidRPr="00266F40">
        <w:rPr>
          <w:b/>
          <w:bCs/>
          <w:sz w:val="24"/>
          <w:szCs w:val="24"/>
          <w14:shadow w14:blurRad="50800" w14:dist="38100" w14:dir="2700000" w14:sx="100000" w14:sy="100000" w14:kx="0" w14:ky="0" w14:algn="tl">
            <w14:srgbClr w14:val="000000">
              <w14:alpha w14:val="60000"/>
            </w14:srgbClr>
          </w14:shadow>
        </w:rPr>
        <w:t>7</w:t>
      </w:r>
      <w:r w:rsidR="0091361F">
        <w:rPr>
          <w:b/>
          <w:bCs/>
          <w:sz w:val="24"/>
          <w:szCs w:val="24"/>
          <w14:shadow w14:blurRad="50800" w14:dist="38100" w14:dir="2700000" w14:sx="100000" w14:sy="100000" w14:kx="0" w14:ky="0" w14:algn="tl">
            <w14:srgbClr w14:val="000000">
              <w14:alpha w14:val="60000"/>
            </w14:srgbClr>
          </w14:shadow>
        </w:rPr>
        <w:t>7</w:t>
      </w:r>
    </w:p>
    <w:p w14:paraId="74ABC883" w14:textId="77777777" w:rsidR="00BE2045" w:rsidRDefault="00BE2045" w:rsidP="00104F7D">
      <w:pPr>
        <w:pStyle w:val="Footer"/>
        <w:jc w:val="right"/>
        <w:outlineLvl w:val="0"/>
        <w:rPr>
          <w:b/>
          <w:bCs/>
          <w:i/>
          <w:iCs/>
          <w:sz w:val="18"/>
          <w:szCs w:val="18"/>
          <w:lang w:val="en-US"/>
        </w:rPr>
      </w:pPr>
      <w:r>
        <w:rPr>
          <w:b/>
          <w:bCs/>
          <w:i/>
          <w:iCs/>
          <w:sz w:val="18"/>
          <w:szCs w:val="18"/>
          <w:lang w:val="en-US"/>
        </w:rPr>
        <w:t>This release and other statistical</w:t>
      </w:r>
    </w:p>
    <w:p w14:paraId="7D383A6E" w14:textId="77777777" w:rsidR="00BE2045" w:rsidRDefault="00F652C2">
      <w:pPr>
        <w:pStyle w:val="Footer"/>
        <w:jc w:val="right"/>
        <w:rPr>
          <w:b/>
          <w:bCs/>
          <w:i/>
          <w:iCs/>
          <w:sz w:val="18"/>
          <w:szCs w:val="18"/>
          <w:lang w:val="en-US"/>
        </w:rPr>
      </w:pPr>
      <w:r>
        <w:rPr>
          <w:b/>
          <w:bCs/>
          <w:i/>
          <w:iCs/>
          <w:sz w:val="18"/>
          <w:szCs w:val="18"/>
          <w:lang w:val="en-US"/>
        </w:rPr>
        <w:t>releases are available on E</w:t>
      </w:r>
      <w:r w:rsidR="00BE2045">
        <w:rPr>
          <w:b/>
          <w:bCs/>
          <w:i/>
          <w:iCs/>
          <w:sz w:val="18"/>
          <w:szCs w:val="18"/>
          <w:lang w:val="en-US"/>
        </w:rPr>
        <w:t>fama’s</w:t>
      </w:r>
    </w:p>
    <w:p w14:paraId="71267D14" w14:textId="77777777" w:rsidR="00BE2045" w:rsidRDefault="00BE2045">
      <w:pPr>
        <w:pStyle w:val="Footer"/>
        <w:jc w:val="right"/>
        <w:rPr>
          <w:b/>
          <w:bCs/>
          <w:i/>
          <w:iCs/>
          <w:sz w:val="18"/>
          <w:szCs w:val="18"/>
          <w:lang w:val="en-US"/>
        </w:rPr>
      </w:pPr>
      <w:r>
        <w:rPr>
          <w:b/>
          <w:bCs/>
          <w:i/>
          <w:iCs/>
          <w:sz w:val="18"/>
          <w:szCs w:val="18"/>
          <w:lang w:val="en-US"/>
        </w:rPr>
        <w:t>website (</w:t>
      </w:r>
      <w:hyperlink r:id="rId10" w:history="1">
        <w:r>
          <w:rPr>
            <w:rStyle w:val="Hyperlink"/>
            <w:b/>
            <w:bCs/>
            <w:i/>
            <w:iCs/>
            <w:sz w:val="18"/>
            <w:szCs w:val="18"/>
          </w:rPr>
          <w:t>www.efama.org</w:t>
        </w:r>
      </w:hyperlink>
      <w:r>
        <w:rPr>
          <w:b/>
          <w:bCs/>
          <w:i/>
          <w:iCs/>
          <w:sz w:val="18"/>
          <w:szCs w:val="18"/>
          <w:lang w:val="en-US"/>
        </w:rPr>
        <w:t>)</w:t>
      </w:r>
    </w:p>
    <w:p w14:paraId="6C99507D" w14:textId="77777777" w:rsidR="00BE2045" w:rsidRDefault="00BE2045">
      <w:pPr>
        <w:pStyle w:val="Footer"/>
        <w:rPr>
          <w:b/>
          <w:bCs/>
          <w:i/>
          <w:iCs/>
          <w:sz w:val="18"/>
          <w:szCs w:val="18"/>
          <w:lang w:val="en-US"/>
        </w:rPr>
      </w:pPr>
    </w:p>
    <w:p w14:paraId="50B1BEB9" w14:textId="77777777" w:rsidR="00BE2045" w:rsidRDefault="00BE2045">
      <w:pPr>
        <w:pStyle w:val="Footer"/>
        <w:jc w:val="center"/>
        <w:rPr>
          <w:b/>
          <w:bCs/>
          <w:sz w:val="18"/>
          <w:szCs w:val="18"/>
          <w:lang w:val="en-US"/>
        </w:rPr>
      </w:pPr>
    </w:p>
    <w:p w14:paraId="4DEEAE07" w14:textId="77777777" w:rsidR="00BE2045" w:rsidRDefault="00BE2045">
      <w:pPr>
        <w:pStyle w:val="Footer"/>
        <w:jc w:val="center"/>
        <w:rPr>
          <w:b/>
          <w:bCs/>
          <w:sz w:val="18"/>
          <w:szCs w:val="18"/>
          <w:lang w:val="en-US"/>
        </w:rPr>
      </w:pPr>
    </w:p>
    <w:p w14:paraId="58970ED2" w14:textId="77777777" w:rsidR="00BE2045" w:rsidRDefault="00BE2045">
      <w:pPr>
        <w:pStyle w:val="Footer"/>
        <w:jc w:val="center"/>
        <w:rPr>
          <w:b/>
          <w:bCs/>
          <w:sz w:val="40"/>
          <w:szCs w:val="18"/>
          <w:lang w:val="en-US"/>
        </w:rPr>
      </w:pPr>
    </w:p>
    <w:p w14:paraId="362064AF" w14:textId="77777777" w:rsidR="00BE2045" w:rsidRDefault="00BE2045" w:rsidP="00340C4D">
      <w:pPr>
        <w:pStyle w:val="Footer"/>
        <w:rPr>
          <w:b/>
          <w:bCs/>
          <w:sz w:val="40"/>
          <w:szCs w:val="18"/>
          <w:lang w:val="en-US"/>
        </w:rPr>
      </w:pPr>
    </w:p>
    <w:p w14:paraId="13C3519D" w14:textId="77777777" w:rsidR="00340C4D" w:rsidRDefault="00340C4D" w:rsidP="00340C4D">
      <w:pPr>
        <w:pStyle w:val="Footer"/>
        <w:rPr>
          <w:b/>
          <w:bCs/>
          <w:sz w:val="18"/>
          <w:szCs w:val="18"/>
          <w:lang w:val="en-US"/>
        </w:rPr>
      </w:pPr>
    </w:p>
    <w:p w14:paraId="471EA4D0" w14:textId="77777777" w:rsidR="00495840" w:rsidRDefault="00495840">
      <w:pPr>
        <w:pStyle w:val="Footer"/>
        <w:jc w:val="center"/>
        <w:rPr>
          <w:b/>
          <w:bCs/>
          <w:sz w:val="18"/>
          <w:szCs w:val="18"/>
          <w:lang w:val="en-US"/>
        </w:rPr>
      </w:pPr>
    </w:p>
    <w:p w14:paraId="7DA5A2EA" w14:textId="77777777" w:rsidR="00BE2045" w:rsidRDefault="00BE2045">
      <w:pPr>
        <w:pStyle w:val="Footer"/>
        <w:jc w:val="center"/>
        <w:rPr>
          <w:b/>
          <w:bCs/>
          <w:sz w:val="18"/>
          <w:szCs w:val="18"/>
          <w:lang w:val="en-US"/>
        </w:rPr>
      </w:pPr>
    </w:p>
    <w:p w14:paraId="5667E5AA" w14:textId="77777777" w:rsidR="00E31FD0" w:rsidRDefault="00E31FD0">
      <w:pPr>
        <w:pStyle w:val="Footer"/>
        <w:jc w:val="center"/>
        <w:rPr>
          <w:b/>
          <w:bCs/>
          <w:sz w:val="18"/>
          <w:szCs w:val="18"/>
          <w:lang w:val="en-US"/>
        </w:rPr>
      </w:pPr>
    </w:p>
    <w:p w14:paraId="6AE291EF" w14:textId="77777777" w:rsidR="00887A60" w:rsidRDefault="00887A60">
      <w:pPr>
        <w:pStyle w:val="Footer"/>
        <w:jc w:val="center"/>
        <w:rPr>
          <w:b/>
          <w:bCs/>
          <w:sz w:val="18"/>
          <w:szCs w:val="18"/>
          <w:lang w:val="en-US"/>
        </w:rPr>
      </w:pPr>
    </w:p>
    <w:p w14:paraId="11055C3D" w14:textId="77777777" w:rsidR="00BE2045" w:rsidRDefault="00BE2045">
      <w:pPr>
        <w:pStyle w:val="Footer"/>
        <w:jc w:val="center"/>
        <w:rPr>
          <w:b/>
          <w:bCs/>
          <w:sz w:val="18"/>
          <w:szCs w:val="18"/>
          <w:lang w:val="en-US"/>
        </w:rPr>
      </w:pPr>
    </w:p>
    <w:p w14:paraId="15B03E8B" w14:textId="77777777" w:rsidR="00BE2045" w:rsidRDefault="00BE2045" w:rsidP="00104F7D">
      <w:pPr>
        <w:pStyle w:val="Footer"/>
        <w:jc w:val="center"/>
        <w:outlineLvl w:val="0"/>
        <w:rPr>
          <w:b/>
          <w:bCs/>
          <w:i/>
          <w:iCs/>
          <w:sz w:val="40"/>
          <w:szCs w:val="40"/>
          <w:lang w:val="en-US"/>
        </w:rPr>
      </w:pPr>
      <w:r>
        <w:rPr>
          <w:b/>
          <w:bCs/>
          <w:i/>
          <w:iCs/>
          <w:sz w:val="40"/>
          <w:szCs w:val="40"/>
          <w:lang w:val="en-US"/>
        </w:rPr>
        <w:t>Trends in the European Investment Fund Industry</w:t>
      </w:r>
    </w:p>
    <w:p w14:paraId="255C1EAF" w14:textId="77777777" w:rsidR="00BE2045" w:rsidRDefault="00BE2045">
      <w:pPr>
        <w:pStyle w:val="Footer"/>
        <w:jc w:val="center"/>
        <w:rPr>
          <w:b/>
          <w:bCs/>
          <w:i/>
          <w:iCs/>
          <w:sz w:val="40"/>
          <w:szCs w:val="40"/>
          <w:lang w:val="en-US"/>
        </w:rPr>
      </w:pPr>
    </w:p>
    <w:p w14:paraId="5A11DE4A" w14:textId="2D80DFB9" w:rsidR="008F2549" w:rsidRDefault="002C628C" w:rsidP="008F2549">
      <w:pPr>
        <w:pStyle w:val="Footer"/>
        <w:jc w:val="center"/>
        <w:rPr>
          <w:b/>
          <w:bCs/>
          <w:i/>
          <w:iCs/>
          <w:sz w:val="40"/>
          <w:szCs w:val="40"/>
          <w:lang w:val="en-US"/>
        </w:rPr>
      </w:pPr>
      <w:r>
        <w:rPr>
          <w:b/>
          <w:bCs/>
          <w:i/>
          <w:iCs/>
          <w:sz w:val="40"/>
          <w:szCs w:val="40"/>
          <w:lang w:val="en-US"/>
        </w:rPr>
        <w:t>in</w:t>
      </w:r>
      <w:r w:rsidR="00F81F78">
        <w:rPr>
          <w:b/>
          <w:bCs/>
          <w:i/>
          <w:iCs/>
          <w:sz w:val="40"/>
          <w:szCs w:val="40"/>
          <w:lang w:val="en-US"/>
        </w:rPr>
        <w:t xml:space="preserve"> the </w:t>
      </w:r>
      <w:r w:rsidR="00FC4C01">
        <w:rPr>
          <w:b/>
          <w:bCs/>
          <w:i/>
          <w:iCs/>
          <w:sz w:val="40"/>
          <w:szCs w:val="40"/>
          <w:lang w:val="en-US"/>
        </w:rPr>
        <w:t>First Quarter of 201</w:t>
      </w:r>
      <w:r w:rsidR="0091361F">
        <w:rPr>
          <w:b/>
          <w:bCs/>
          <w:i/>
          <w:iCs/>
          <w:sz w:val="40"/>
          <w:szCs w:val="40"/>
          <w:lang w:val="en-US"/>
        </w:rPr>
        <w:t>9</w:t>
      </w:r>
    </w:p>
    <w:p w14:paraId="7A8997FE" w14:textId="77777777" w:rsidR="009A23FA" w:rsidRDefault="009A23FA" w:rsidP="008F2549">
      <w:pPr>
        <w:pStyle w:val="Footer"/>
        <w:jc w:val="center"/>
        <w:rPr>
          <w:b/>
          <w:bCs/>
          <w:i/>
          <w:iCs/>
          <w:sz w:val="40"/>
          <w:szCs w:val="40"/>
          <w:lang w:val="en-US"/>
        </w:rPr>
      </w:pPr>
    </w:p>
    <w:p w14:paraId="0B98E6AF" w14:textId="77777777" w:rsidR="00767566" w:rsidRDefault="00767566" w:rsidP="008F2549">
      <w:pPr>
        <w:pStyle w:val="Footer"/>
        <w:jc w:val="center"/>
        <w:rPr>
          <w:b/>
          <w:bCs/>
          <w:i/>
          <w:iCs/>
          <w:sz w:val="40"/>
          <w:szCs w:val="40"/>
          <w:lang w:val="en-US"/>
        </w:rPr>
      </w:pPr>
    </w:p>
    <w:p w14:paraId="03D68159" w14:textId="77777777" w:rsidR="00AC73EA" w:rsidRDefault="00AC73EA" w:rsidP="008F2549">
      <w:pPr>
        <w:pStyle w:val="Footer"/>
        <w:jc w:val="center"/>
        <w:rPr>
          <w:b/>
          <w:bCs/>
          <w:i/>
          <w:iCs/>
          <w:sz w:val="40"/>
          <w:szCs w:val="40"/>
          <w:lang w:val="en-US"/>
        </w:rPr>
      </w:pPr>
    </w:p>
    <w:p w14:paraId="572CE888" w14:textId="77777777" w:rsidR="00C31FBE" w:rsidRDefault="00C31FBE" w:rsidP="008F2549">
      <w:pPr>
        <w:pStyle w:val="Footer"/>
        <w:jc w:val="center"/>
        <w:rPr>
          <w:b/>
          <w:bCs/>
          <w:i/>
          <w:iCs/>
          <w:sz w:val="40"/>
          <w:szCs w:val="40"/>
          <w:lang w:val="en-US"/>
        </w:rPr>
      </w:pPr>
    </w:p>
    <w:p w14:paraId="70E181E5" w14:textId="77777777" w:rsidR="00DA0EDA" w:rsidRDefault="00DA0EDA" w:rsidP="008F2549">
      <w:pPr>
        <w:pStyle w:val="Footer"/>
        <w:jc w:val="center"/>
        <w:rPr>
          <w:b/>
          <w:bCs/>
          <w:i/>
          <w:iCs/>
          <w:sz w:val="40"/>
          <w:szCs w:val="40"/>
          <w:lang w:val="en-US"/>
        </w:rPr>
      </w:pPr>
    </w:p>
    <w:p w14:paraId="16411BE4" w14:textId="77777777" w:rsidR="005A704F" w:rsidRDefault="005A704F" w:rsidP="007C0E28">
      <w:pPr>
        <w:pStyle w:val="Footer"/>
        <w:jc w:val="center"/>
        <w:rPr>
          <w:b/>
          <w:bCs/>
          <w:i/>
          <w:iCs/>
          <w:sz w:val="40"/>
          <w:szCs w:val="40"/>
          <w:lang w:val="en-US"/>
        </w:rPr>
      </w:pPr>
    </w:p>
    <w:p w14:paraId="5AD7AA4E" w14:textId="77777777" w:rsidR="008516E2" w:rsidRDefault="008516E2">
      <w:pPr>
        <w:pStyle w:val="Footer"/>
        <w:jc w:val="center"/>
        <w:rPr>
          <w:b/>
          <w:bCs/>
          <w:i/>
          <w:iCs/>
          <w:sz w:val="40"/>
          <w:szCs w:val="40"/>
          <w:lang w:val="en-US"/>
        </w:rPr>
      </w:pPr>
    </w:p>
    <w:p w14:paraId="1EAD602F" w14:textId="77777777" w:rsidR="00BA0A3A" w:rsidRDefault="00BA0A3A">
      <w:pPr>
        <w:pStyle w:val="Footer"/>
        <w:jc w:val="center"/>
        <w:rPr>
          <w:b/>
          <w:bCs/>
          <w:i/>
          <w:iCs/>
          <w:sz w:val="40"/>
          <w:szCs w:val="40"/>
          <w:lang w:val="en-US"/>
        </w:rPr>
      </w:pPr>
    </w:p>
    <w:p w14:paraId="7C4FA97C" w14:textId="77777777" w:rsidR="00AC73EA" w:rsidRDefault="00AC73EA">
      <w:pPr>
        <w:pStyle w:val="Footer"/>
        <w:jc w:val="center"/>
        <w:rPr>
          <w:b/>
          <w:bCs/>
          <w:i/>
          <w:iCs/>
          <w:sz w:val="40"/>
          <w:szCs w:val="40"/>
          <w:lang w:val="en-US"/>
        </w:rPr>
      </w:pPr>
    </w:p>
    <w:p w14:paraId="17260604" w14:textId="77777777" w:rsidR="008516E2" w:rsidRDefault="008516E2">
      <w:pPr>
        <w:pStyle w:val="Footer"/>
        <w:jc w:val="center"/>
        <w:rPr>
          <w:b/>
          <w:bCs/>
          <w:i/>
          <w:iCs/>
          <w:sz w:val="40"/>
          <w:szCs w:val="40"/>
          <w:lang w:val="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BE2045" w:rsidRPr="00E330A6" w14:paraId="3951D4AD" w14:textId="77777777">
        <w:trPr>
          <w:trHeight w:val="1617"/>
        </w:trPr>
        <w:tc>
          <w:tcPr>
            <w:tcW w:w="9923" w:type="dxa"/>
            <w:tcBorders>
              <w:top w:val="single" w:sz="4" w:space="0" w:color="auto"/>
              <w:left w:val="single" w:sz="4" w:space="0" w:color="auto"/>
              <w:bottom w:val="single" w:sz="4" w:space="0" w:color="auto"/>
              <w:right w:val="single" w:sz="4" w:space="0" w:color="auto"/>
            </w:tcBorders>
          </w:tcPr>
          <w:p w14:paraId="28C1869F" w14:textId="77777777" w:rsidR="00BE2045" w:rsidRDefault="00BE2045">
            <w:pPr>
              <w:pStyle w:val="Footer"/>
              <w:jc w:val="center"/>
              <w:rPr>
                <w:b/>
                <w:bCs/>
                <w:sz w:val="16"/>
                <w:szCs w:val="16"/>
                <w:lang w:val="en-US"/>
              </w:rPr>
            </w:pPr>
          </w:p>
          <w:p w14:paraId="379911F2" w14:textId="77777777" w:rsidR="0091361F" w:rsidRDefault="0091361F" w:rsidP="0091361F">
            <w:pPr>
              <w:pStyle w:val="Footer"/>
              <w:jc w:val="center"/>
              <w:rPr>
                <w:b/>
                <w:bCs/>
                <w:sz w:val="18"/>
                <w:szCs w:val="16"/>
                <w:lang w:val="en-US"/>
              </w:rPr>
            </w:pPr>
            <w:r>
              <w:rPr>
                <w:b/>
                <w:bCs/>
                <w:sz w:val="18"/>
                <w:szCs w:val="16"/>
                <w:lang w:val="en-US"/>
              </w:rPr>
              <w:t>This report was prepared by Bernard Delbecque, Thomas Tilley and Hailin Yang</w:t>
            </w:r>
          </w:p>
          <w:p w14:paraId="3DFA4EAF" w14:textId="77777777" w:rsidR="00BE2045" w:rsidRDefault="001B65E9">
            <w:pPr>
              <w:pStyle w:val="Footer"/>
              <w:jc w:val="center"/>
              <w:rPr>
                <w:b/>
                <w:bCs/>
                <w:sz w:val="16"/>
                <w:szCs w:val="16"/>
                <w:lang w:val="en-US"/>
              </w:rPr>
            </w:pPr>
            <w:r>
              <w:rPr>
                <w:b/>
                <w:bCs/>
                <w:noProof/>
                <w:szCs w:val="16"/>
                <w:lang w:val="nl-BE" w:eastAsia="nl-BE"/>
              </w:rPr>
              <mc:AlternateContent>
                <mc:Choice Requires="wps">
                  <w:drawing>
                    <wp:anchor distT="0" distB="0" distL="114300" distR="114300" simplePos="0" relativeHeight="251642880" behindDoc="0" locked="0" layoutInCell="1" allowOverlap="1" wp14:anchorId="306FD54D" wp14:editId="4D56C6D6">
                      <wp:simplePos x="0" y="0"/>
                      <wp:positionH relativeFrom="column">
                        <wp:posOffset>409575</wp:posOffset>
                      </wp:positionH>
                      <wp:positionV relativeFrom="paragraph">
                        <wp:posOffset>47625</wp:posOffset>
                      </wp:positionV>
                      <wp:extent cx="5038725" cy="0"/>
                      <wp:effectExtent l="0" t="0" r="0" b="0"/>
                      <wp:wrapSquare wrapText="bothSides"/>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4AE0FE" id="Line 43"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3.75pt" to="42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">
                      <w10:wrap type="square"/>
                    </v:line>
                  </w:pict>
                </mc:Fallback>
              </mc:AlternateContent>
            </w:r>
          </w:p>
          <w:p w14:paraId="46A971E1" w14:textId="77777777" w:rsidR="00BE2045" w:rsidRDefault="00BE2045">
            <w:pPr>
              <w:pStyle w:val="Footer"/>
              <w:jc w:val="center"/>
              <w:rPr>
                <w:b/>
                <w:bCs/>
                <w:sz w:val="18"/>
                <w:szCs w:val="18"/>
                <w:lang w:val="en-US"/>
              </w:rPr>
            </w:pPr>
            <w:r>
              <w:rPr>
                <w:b/>
                <w:bCs/>
                <w:sz w:val="18"/>
                <w:szCs w:val="18"/>
                <w:lang w:val="en-US"/>
              </w:rPr>
              <w:t>EFAMA</w:t>
            </w:r>
          </w:p>
          <w:p w14:paraId="6D82AA90" w14:textId="77777777" w:rsidR="00BE2045" w:rsidRDefault="00BE2045">
            <w:pPr>
              <w:pStyle w:val="Footer"/>
              <w:jc w:val="center"/>
              <w:rPr>
                <w:b/>
                <w:bCs/>
                <w:sz w:val="18"/>
                <w:szCs w:val="16"/>
              </w:rPr>
            </w:pPr>
            <w:r>
              <w:rPr>
                <w:b/>
                <w:bCs/>
                <w:sz w:val="18"/>
                <w:szCs w:val="16"/>
              </w:rPr>
              <w:t>The European Fund and Asset Management Association</w:t>
            </w:r>
          </w:p>
          <w:p w14:paraId="48D650BF" w14:textId="77777777" w:rsidR="00BE2045" w:rsidRDefault="00BE2045">
            <w:pPr>
              <w:pStyle w:val="Footer"/>
              <w:jc w:val="both"/>
              <w:rPr>
                <w:b/>
                <w:bCs/>
                <w:sz w:val="18"/>
                <w:szCs w:val="16"/>
                <w:lang w:val="en-US"/>
              </w:rPr>
            </w:pPr>
          </w:p>
          <w:p w14:paraId="60E481BB" w14:textId="77777777" w:rsidR="00BE2045" w:rsidRPr="001B65E9" w:rsidRDefault="00495840">
            <w:pPr>
              <w:pStyle w:val="Footer"/>
              <w:spacing w:line="360" w:lineRule="auto"/>
              <w:jc w:val="center"/>
              <w:rPr>
                <w:b/>
                <w:bCs/>
                <w:sz w:val="18"/>
                <w:szCs w:val="24"/>
                <w:lang w:val="fr-BE"/>
                <w14:shadow w14:blurRad="50800" w14:dist="38100" w14:dir="2700000" w14:sx="100000" w14:sy="100000" w14:kx="0" w14:ky="0" w14:algn="tl">
                  <w14:srgbClr w14:val="000000">
                    <w14:alpha w14:val="60000"/>
                  </w14:srgbClr>
                </w14:shadow>
              </w:rPr>
            </w:pPr>
            <w:r>
              <w:rPr>
                <w:b/>
                <w:bCs/>
                <w:sz w:val="18"/>
                <w:szCs w:val="16"/>
                <w:lang w:val="fr-BE"/>
              </w:rPr>
              <w:t>Rue Montoyer 47 - B-100</w:t>
            </w:r>
            <w:r w:rsidR="00BE2045">
              <w:rPr>
                <w:b/>
                <w:bCs/>
                <w:sz w:val="18"/>
                <w:szCs w:val="16"/>
                <w:lang w:val="fr-BE"/>
              </w:rPr>
              <w:t>0 BRUXELLES - Tel. 32-2-513.39.69 Fax: 32-2-513.26.43 - e-mail: info@efama.org</w:t>
            </w:r>
          </w:p>
        </w:tc>
      </w:tr>
    </w:tbl>
    <w:p w14:paraId="1358C05A" w14:textId="77777777" w:rsidR="00F60EEC" w:rsidRPr="00FF66E2" w:rsidRDefault="00F60EEC">
      <w:pPr>
        <w:pStyle w:val="Footer"/>
        <w:spacing w:line="360" w:lineRule="auto"/>
        <w:rPr>
          <w:lang w:val="fr-BE"/>
        </w:rPr>
      </w:pPr>
    </w:p>
    <w:p w14:paraId="4ED7E575" w14:textId="68FCB493" w:rsidR="00321FA6" w:rsidRPr="001B65E9" w:rsidRDefault="00AC73EA" w:rsidP="00321FA6">
      <w:pPr>
        <w:pStyle w:val="Footer"/>
        <w:jc w:val="center"/>
        <w:outlineLvl w:val="0"/>
        <w:rPr>
          <w:b/>
          <w:bCs/>
          <w:sz w:val="28"/>
          <w:szCs w:val="28"/>
          <w:lang w:val="en-US"/>
          <w14:shadow w14:blurRad="50800" w14:dist="38100" w14:dir="2700000" w14:sx="100000" w14:sy="100000" w14:kx="0" w14:ky="0" w14:algn="tl">
            <w14:srgbClr w14:val="000000">
              <w14:alpha w14:val="60000"/>
            </w14:srgbClr>
          </w14:shadow>
        </w:rPr>
      </w:pPr>
      <w:r w:rsidRPr="004B3524">
        <w:rPr>
          <w:b/>
          <w:bCs/>
          <w:sz w:val="28"/>
          <w:szCs w:val="28"/>
          <w:lang w:val="en-US"/>
          <w14:shadow w14:blurRad="50800" w14:dist="38100" w14:dir="2700000" w14:sx="100000" w14:sy="100000" w14:kx="0" w14:ky="0" w14:algn="tl">
            <w14:srgbClr w14:val="000000">
              <w14:alpha w14:val="60000"/>
            </w14:srgbClr>
          </w14:shadow>
        </w:rPr>
        <w:br w:type="page"/>
      </w:r>
      <w:r w:rsidR="00321FA6" w:rsidRPr="001B65E9">
        <w:rPr>
          <w:b/>
          <w:bCs/>
          <w:sz w:val="28"/>
          <w:szCs w:val="28"/>
          <w:lang w:val="en-US"/>
          <w14:shadow w14:blurRad="50800" w14:dist="38100" w14:dir="2700000" w14:sx="100000" w14:sy="100000" w14:kx="0" w14:ky="0" w14:algn="tl">
            <w14:srgbClr w14:val="000000">
              <w14:alpha w14:val="60000"/>
            </w14:srgbClr>
          </w14:shadow>
        </w:rPr>
        <w:lastRenderedPageBreak/>
        <w:t>Trends in the UCITS Market</w:t>
      </w:r>
    </w:p>
    <w:p w14:paraId="4B8A8C26" w14:textId="3686A518" w:rsidR="00321FA6" w:rsidRPr="001B65E9" w:rsidRDefault="00321FA6" w:rsidP="00321FA6">
      <w:pPr>
        <w:pStyle w:val="Footer"/>
        <w:jc w:val="center"/>
        <w:outlineLvl w:val="0"/>
        <w:rPr>
          <w:b/>
          <w:bCs/>
          <w:i/>
          <w:iCs/>
          <w:sz w:val="28"/>
          <w:szCs w:val="28"/>
          <w:lang w:val="en-US"/>
          <w14:shadow w14:blurRad="50800" w14:dist="38100" w14:dir="2700000" w14:sx="100000" w14:sy="100000" w14:kx="0" w14:ky="0" w14:algn="tl">
            <w14:srgbClr w14:val="000000">
              <w14:alpha w14:val="60000"/>
            </w14:srgbClr>
          </w14:shadow>
        </w:rPr>
      </w:pPr>
      <w:r w:rsidRPr="001B65E9">
        <w:rPr>
          <w:b/>
          <w:bCs/>
          <w:i/>
          <w:iCs/>
          <w:sz w:val="28"/>
          <w:szCs w:val="28"/>
          <w:lang w:val="en-US"/>
          <w14:shadow w14:blurRad="50800" w14:dist="38100" w14:dir="2700000" w14:sx="100000" w14:sy="100000" w14:kx="0" w14:ky="0" w14:algn="tl">
            <w14:srgbClr w14:val="000000">
              <w14:alpha w14:val="60000"/>
            </w14:srgbClr>
          </w14:shadow>
        </w:rPr>
        <w:t>Net Sales by Investment Type</w:t>
      </w:r>
    </w:p>
    <w:p w14:paraId="1D2F750F" w14:textId="40E832DE" w:rsidR="00321FA6" w:rsidRDefault="00321FA6" w:rsidP="00321FA6">
      <w:pPr>
        <w:pStyle w:val="Footer"/>
        <w:tabs>
          <w:tab w:val="left" w:pos="720"/>
          <w:tab w:val="left" w:pos="4320"/>
        </w:tabs>
        <w:spacing w:line="260" w:lineRule="exact"/>
        <w:jc w:val="both"/>
        <w:rPr>
          <w:sz w:val="22"/>
          <w:szCs w:val="22"/>
          <w:lang w:val="en-US"/>
        </w:rPr>
      </w:pPr>
    </w:p>
    <w:p w14:paraId="40AA7F77" w14:textId="644A2F36" w:rsidR="00321FA6" w:rsidRDefault="00321FA6" w:rsidP="00321FA6">
      <w:pPr>
        <w:pStyle w:val="Footer"/>
        <w:tabs>
          <w:tab w:val="left" w:pos="720"/>
          <w:tab w:val="left" w:pos="4320"/>
        </w:tabs>
        <w:spacing w:line="260" w:lineRule="exact"/>
        <w:jc w:val="both"/>
        <w:rPr>
          <w:b/>
          <w:bCs/>
          <w:color w:val="0000FF"/>
          <w:sz w:val="22"/>
          <w:szCs w:val="22"/>
          <w:lang w:val="en-US"/>
        </w:rPr>
      </w:pPr>
      <w:r>
        <w:rPr>
          <w:b/>
          <w:bCs/>
          <w:color w:val="0000FF"/>
          <w:sz w:val="22"/>
          <w:szCs w:val="22"/>
          <w:lang w:val="en-US"/>
        </w:rPr>
        <w:t xml:space="preserve">UCITS </w:t>
      </w:r>
      <w:r w:rsidR="00235A51">
        <w:rPr>
          <w:b/>
          <w:bCs/>
          <w:color w:val="0000FF"/>
          <w:sz w:val="22"/>
          <w:szCs w:val="22"/>
          <w:lang w:val="en-US"/>
        </w:rPr>
        <w:t>recorded</w:t>
      </w:r>
      <w:r>
        <w:rPr>
          <w:b/>
          <w:bCs/>
          <w:color w:val="0000FF"/>
          <w:sz w:val="22"/>
          <w:szCs w:val="22"/>
          <w:lang w:val="en-US"/>
        </w:rPr>
        <w:t xml:space="preserve"> net </w:t>
      </w:r>
      <w:r w:rsidR="00FF66E2">
        <w:rPr>
          <w:b/>
          <w:bCs/>
          <w:color w:val="0000FF"/>
          <w:sz w:val="22"/>
          <w:szCs w:val="22"/>
          <w:lang w:val="en-US"/>
        </w:rPr>
        <w:t xml:space="preserve">inflows of </w:t>
      </w:r>
      <w:r>
        <w:rPr>
          <w:b/>
          <w:bCs/>
          <w:color w:val="0000FF"/>
          <w:sz w:val="22"/>
          <w:szCs w:val="22"/>
          <w:lang w:val="en-US"/>
        </w:rPr>
        <w:t xml:space="preserve">EUR </w:t>
      </w:r>
      <w:r w:rsidR="00A756C4">
        <w:rPr>
          <w:b/>
          <w:bCs/>
          <w:color w:val="0000FF"/>
          <w:sz w:val="22"/>
          <w:szCs w:val="22"/>
          <w:lang w:val="en-US"/>
        </w:rPr>
        <w:t>51</w:t>
      </w:r>
      <w:r w:rsidR="00235C1D">
        <w:rPr>
          <w:b/>
          <w:bCs/>
          <w:color w:val="0000FF"/>
          <w:sz w:val="22"/>
          <w:szCs w:val="22"/>
          <w:lang w:val="en-US"/>
        </w:rPr>
        <w:t xml:space="preserve"> </w:t>
      </w:r>
      <w:r w:rsidR="00FF66E2">
        <w:rPr>
          <w:b/>
          <w:bCs/>
          <w:color w:val="0000FF"/>
          <w:sz w:val="22"/>
          <w:szCs w:val="22"/>
          <w:lang w:val="en-US"/>
        </w:rPr>
        <w:t xml:space="preserve">billion </w:t>
      </w:r>
      <w:r w:rsidR="00956573">
        <w:rPr>
          <w:b/>
          <w:bCs/>
          <w:color w:val="0000FF"/>
          <w:sz w:val="22"/>
          <w:szCs w:val="22"/>
          <w:lang w:val="en-US"/>
        </w:rPr>
        <w:t xml:space="preserve">in </w:t>
      </w:r>
      <w:r w:rsidR="009D2541">
        <w:rPr>
          <w:b/>
          <w:bCs/>
          <w:color w:val="0000FF"/>
          <w:sz w:val="22"/>
          <w:szCs w:val="22"/>
          <w:lang w:val="en-US"/>
        </w:rPr>
        <w:t>Q1 201</w:t>
      </w:r>
      <w:r w:rsidR="00A756C4">
        <w:rPr>
          <w:b/>
          <w:bCs/>
          <w:color w:val="0000FF"/>
          <w:sz w:val="22"/>
          <w:szCs w:val="22"/>
          <w:lang w:val="en-US"/>
        </w:rPr>
        <w:t>9</w:t>
      </w:r>
      <w:r w:rsidR="00831CEF">
        <w:rPr>
          <w:b/>
          <w:bCs/>
          <w:color w:val="0000FF"/>
          <w:sz w:val="22"/>
          <w:szCs w:val="22"/>
          <w:lang w:val="en-US"/>
        </w:rPr>
        <w:t xml:space="preserve">, </w:t>
      </w:r>
      <w:r w:rsidR="00795DA0">
        <w:rPr>
          <w:b/>
          <w:bCs/>
          <w:color w:val="0000FF"/>
          <w:sz w:val="22"/>
          <w:szCs w:val="22"/>
          <w:lang w:val="en-US"/>
        </w:rPr>
        <w:t xml:space="preserve">of which EUR </w:t>
      </w:r>
      <w:r w:rsidR="00A756C4">
        <w:rPr>
          <w:b/>
          <w:bCs/>
          <w:color w:val="0000FF"/>
          <w:sz w:val="22"/>
          <w:szCs w:val="22"/>
          <w:lang w:val="en-US"/>
        </w:rPr>
        <w:t>32</w:t>
      </w:r>
      <w:r w:rsidR="00795DA0">
        <w:rPr>
          <w:b/>
          <w:bCs/>
          <w:color w:val="0000FF"/>
          <w:sz w:val="22"/>
          <w:szCs w:val="22"/>
          <w:lang w:val="en-US"/>
        </w:rPr>
        <w:t xml:space="preserve"> billion were recorded </w:t>
      </w:r>
      <w:r w:rsidR="004344E7">
        <w:rPr>
          <w:b/>
          <w:bCs/>
          <w:color w:val="0000FF"/>
          <w:sz w:val="22"/>
          <w:szCs w:val="22"/>
          <w:lang w:val="en-US"/>
        </w:rPr>
        <w:t>in January</w:t>
      </w:r>
      <w:r w:rsidR="00795DA0">
        <w:rPr>
          <w:b/>
          <w:bCs/>
          <w:color w:val="0000FF"/>
          <w:sz w:val="22"/>
          <w:szCs w:val="22"/>
          <w:lang w:val="en-US"/>
        </w:rPr>
        <w:t xml:space="preserve">. </w:t>
      </w:r>
    </w:p>
    <w:p w14:paraId="67E8C8DA" w14:textId="77777777" w:rsidR="00DD12A5" w:rsidRDefault="00DD12A5" w:rsidP="00321FA6">
      <w:pPr>
        <w:pStyle w:val="Footer"/>
        <w:tabs>
          <w:tab w:val="left" w:pos="720"/>
          <w:tab w:val="left" w:pos="4320"/>
        </w:tabs>
        <w:spacing w:line="260" w:lineRule="exact"/>
        <w:jc w:val="both"/>
        <w:rPr>
          <w:b/>
          <w:bCs/>
          <w:color w:val="0000FF"/>
          <w:sz w:val="22"/>
          <w:szCs w:val="22"/>
        </w:rPr>
      </w:pPr>
    </w:p>
    <w:p w14:paraId="686E3E1E" w14:textId="04F20C29" w:rsidR="00321FA6" w:rsidRDefault="00321FA6" w:rsidP="00A756C4">
      <w:pPr>
        <w:pStyle w:val="Footer"/>
        <w:tabs>
          <w:tab w:val="left" w:pos="720"/>
          <w:tab w:val="left" w:pos="4320"/>
        </w:tabs>
        <w:spacing w:line="260" w:lineRule="exact"/>
        <w:jc w:val="both"/>
        <w:rPr>
          <w:bCs/>
          <w:color w:val="000000"/>
          <w:sz w:val="22"/>
          <w:szCs w:val="22"/>
        </w:rPr>
      </w:pPr>
      <w:r w:rsidRPr="007D3A6C">
        <w:rPr>
          <w:bCs/>
          <w:color w:val="000000"/>
          <w:sz w:val="22"/>
          <w:szCs w:val="22"/>
        </w:rPr>
        <w:t xml:space="preserve">Long-term UCITS </w:t>
      </w:r>
      <w:r w:rsidR="00F2020F">
        <w:rPr>
          <w:bCs/>
          <w:color w:val="000000"/>
          <w:sz w:val="22"/>
          <w:szCs w:val="22"/>
        </w:rPr>
        <w:t>recorded net</w:t>
      </w:r>
      <w:r w:rsidR="00831CEF">
        <w:rPr>
          <w:bCs/>
          <w:color w:val="000000"/>
          <w:sz w:val="22"/>
          <w:szCs w:val="22"/>
        </w:rPr>
        <w:t xml:space="preserve"> inflows of EUR</w:t>
      </w:r>
      <w:r w:rsidR="00A756C4">
        <w:rPr>
          <w:bCs/>
          <w:color w:val="000000"/>
          <w:sz w:val="22"/>
          <w:szCs w:val="22"/>
        </w:rPr>
        <w:t xml:space="preserve"> 40</w:t>
      </w:r>
      <w:r w:rsidR="00235C1D">
        <w:rPr>
          <w:bCs/>
          <w:color w:val="000000"/>
          <w:sz w:val="22"/>
          <w:szCs w:val="22"/>
        </w:rPr>
        <w:t xml:space="preserve"> </w:t>
      </w:r>
      <w:r w:rsidR="004C06E4">
        <w:rPr>
          <w:bCs/>
          <w:color w:val="000000"/>
          <w:sz w:val="22"/>
          <w:szCs w:val="22"/>
        </w:rPr>
        <w:t>billion</w:t>
      </w:r>
      <w:r w:rsidR="00B007D8">
        <w:rPr>
          <w:bCs/>
          <w:color w:val="000000"/>
          <w:sz w:val="22"/>
          <w:szCs w:val="22"/>
        </w:rPr>
        <w:t xml:space="preserve"> in </w:t>
      </w:r>
      <w:r w:rsidR="00235C1D">
        <w:rPr>
          <w:bCs/>
          <w:color w:val="000000"/>
          <w:sz w:val="22"/>
          <w:szCs w:val="22"/>
        </w:rPr>
        <w:t xml:space="preserve">Q1 </w:t>
      </w:r>
      <w:r w:rsidR="00235C1D" w:rsidRPr="00A7353F">
        <w:rPr>
          <w:bCs/>
          <w:color w:val="000000"/>
          <w:sz w:val="22"/>
          <w:szCs w:val="22"/>
        </w:rPr>
        <w:t>201</w:t>
      </w:r>
      <w:r w:rsidR="00A756C4">
        <w:rPr>
          <w:bCs/>
          <w:color w:val="000000"/>
          <w:sz w:val="22"/>
          <w:szCs w:val="22"/>
        </w:rPr>
        <w:t>9</w:t>
      </w:r>
      <w:r w:rsidRPr="00A7353F">
        <w:rPr>
          <w:bCs/>
          <w:color w:val="000000"/>
          <w:sz w:val="22"/>
          <w:szCs w:val="22"/>
        </w:rPr>
        <w:t xml:space="preserve">, </w:t>
      </w:r>
      <w:r w:rsidR="00A756C4">
        <w:rPr>
          <w:bCs/>
          <w:color w:val="000000"/>
          <w:sz w:val="22"/>
          <w:szCs w:val="22"/>
        </w:rPr>
        <w:t xml:space="preserve">compared to net outflows of EUR 94 billion in Q4 </w:t>
      </w:r>
      <w:r w:rsidR="00A756C4" w:rsidRPr="00A7353F">
        <w:rPr>
          <w:bCs/>
          <w:color w:val="000000"/>
          <w:sz w:val="22"/>
          <w:szCs w:val="22"/>
        </w:rPr>
        <w:t>201</w:t>
      </w:r>
      <w:r w:rsidR="00A756C4">
        <w:rPr>
          <w:bCs/>
          <w:color w:val="000000"/>
          <w:sz w:val="22"/>
          <w:szCs w:val="22"/>
        </w:rPr>
        <w:t>8</w:t>
      </w:r>
      <w:r w:rsidRPr="00A7353F">
        <w:rPr>
          <w:bCs/>
          <w:color w:val="000000"/>
          <w:sz w:val="22"/>
          <w:szCs w:val="22"/>
        </w:rPr>
        <w:t xml:space="preserve">. </w:t>
      </w:r>
      <w:r w:rsidR="00A756C4" w:rsidRPr="00A756C4">
        <w:rPr>
          <w:bCs/>
          <w:color w:val="000000"/>
          <w:sz w:val="22"/>
          <w:szCs w:val="22"/>
        </w:rPr>
        <w:t xml:space="preserve">Equity funds recorded net outflows of EUR </w:t>
      </w:r>
      <w:r w:rsidR="00A756C4">
        <w:rPr>
          <w:bCs/>
          <w:color w:val="000000"/>
          <w:sz w:val="22"/>
          <w:szCs w:val="22"/>
        </w:rPr>
        <w:t>27</w:t>
      </w:r>
      <w:r w:rsidR="00A756C4" w:rsidRPr="00A756C4">
        <w:rPr>
          <w:bCs/>
          <w:color w:val="000000"/>
          <w:sz w:val="22"/>
          <w:szCs w:val="22"/>
        </w:rPr>
        <w:t xml:space="preserve"> billion, compared to net </w:t>
      </w:r>
      <w:r w:rsidR="00A756C4">
        <w:rPr>
          <w:bCs/>
          <w:color w:val="000000"/>
          <w:sz w:val="22"/>
          <w:szCs w:val="22"/>
        </w:rPr>
        <w:t>out</w:t>
      </w:r>
      <w:r w:rsidR="00A756C4" w:rsidRPr="00A756C4">
        <w:rPr>
          <w:bCs/>
          <w:color w:val="000000"/>
          <w:sz w:val="22"/>
          <w:szCs w:val="22"/>
        </w:rPr>
        <w:t>flows of EUR</w:t>
      </w:r>
      <w:r w:rsidR="00A756C4">
        <w:rPr>
          <w:bCs/>
          <w:color w:val="000000"/>
          <w:sz w:val="22"/>
          <w:szCs w:val="22"/>
        </w:rPr>
        <w:t xml:space="preserve"> 7</w:t>
      </w:r>
      <w:r w:rsidR="004B3524">
        <w:rPr>
          <w:bCs/>
          <w:color w:val="000000"/>
          <w:sz w:val="22"/>
          <w:szCs w:val="22"/>
        </w:rPr>
        <w:t xml:space="preserve"> </w:t>
      </w:r>
      <w:r w:rsidR="00A756C4" w:rsidRPr="00A756C4">
        <w:rPr>
          <w:bCs/>
          <w:color w:val="000000"/>
          <w:sz w:val="22"/>
          <w:szCs w:val="22"/>
        </w:rPr>
        <w:t>billion in Q</w:t>
      </w:r>
      <w:r w:rsidR="00A756C4">
        <w:rPr>
          <w:bCs/>
          <w:color w:val="000000"/>
          <w:sz w:val="22"/>
          <w:szCs w:val="22"/>
        </w:rPr>
        <w:t>4</w:t>
      </w:r>
      <w:r w:rsidR="00A756C4" w:rsidRPr="00A756C4">
        <w:rPr>
          <w:bCs/>
          <w:color w:val="000000"/>
          <w:sz w:val="22"/>
          <w:szCs w:val="22"/>
        </w:rPr>
        <w:t xml:space="preserve"> 2018. </w:t>
      </w:r>
      <w:r w:rsidR="00360AE3">
        <w:rPr>
          <w:bCs/>
          <w:color w:val="000000"/>
          <w:sz w:val="22"/>
          <w:szCs w:val="22"/>
        </w:rPr>
        <w:t>Ne</w:t>
      </w:r>
      <w:r w:rsidR="00360AE3" w:rsidRPr="00A7353F">
        <w:rPr>
          <w:bCs/>
          <w:color w:val="000000"/>
          <w:sz w:val="22"/>
          <w:szCs w:val="22"/>
        </w:rPr>
        <w:t>t sales of multi-asset funds</w:t>
      </w:r>
      <w:r w:rsidR="00360AE3">
        <w:rPr>
          <w:bCs/>
          <w:color w:val="000000"/>
          <w:sz w:val="22"/>
          <w:szCs w:val="22"/>
        </w:rPr>
        <w:t xml:space="preserve"> turned positive in Q1 </w:t>
      </w:r>
      <w:r w:rsidR="00360AE3" w:rsidRPr="00A7353F">
        <w:rPr>
          <w:bCs/>
          <w:color w:val="000000"/>
          <w:sz w:val="22"/>
          <w:szCs w:val="22"/>
        </w:rPr>
        <w:t>201</w:t>
      </w:r>
      <w:r w:rsidR="00360AE3">
        <w:rPr>
          <w:bCs/>
          <w:color w:val="000000"/>
          <w:sz w:val="22"/>
          <w:szCs w:val="22"/>
        </w:rPr>
        <w:t xml:space="preserve">9, with net </w:t>
      </w:r>
      <w:r w:rsidR="004B3524">
        <w:rPr>
          <w:bCs/>
          <w:color w:val="000000"/>
          <w:sz w:val="22"/>
          <w:szCs w:val="22"/>
        </w:rPr>
        <w:t>in</w:t>
      </w:r>
      <w:r w:rsidR="00360AE3">
        <w:rPr>
          <w:bCs/>
          <w:color w:val="000000"/>
          <w:sz w:val="22"/>
          <w:szCs w:val="22"/>
        </w:rPr>
        <w:t xml:space="preserve">flows of EUR 2 billion, </w:t>
      </w:r>
      <w:r w:rsidR="00360AE3" w:rsidRPr="00A756C4">
        <w:rPr>
          <w:bCs/>
          <w:color w:val="000000"/>
          <w:sz w:val="22"/>
          <w:szCs w:val="22"/>
        </w:rPr>
        <w:t xml:space="preserve">compared to net </w:t>
      </w:r>
      <w:r w:rsidR="00360AE3">
        <w:rPr>
          <w:bCs/>
          <w:color w:val="000000"/>
          <w:sz w:val="22"/>
          <w:szCs w:val="22"/>
        </w:rPr>
        <w:t>out</w:t>
      </w:r>
      <w:r w:rsidR="00360AE3" w:rsidRPr="00A756C4">
        <w:rPr>
          <w:bCs/>
          <w:color w:val="000000"/>
          <w:sz w:val="22"/>
          <w:szCs w:val="22"/>
        </w:rPr>
        <w:t>flows of EUR</w:t>
      </w:r>
      <w:r w:rsidR="00360AE3">
        <w:rPr>
          <w:bCs/>
          <w:color w:val="000000"/>
          <w:sz w:val="22"/>
          <w:szCs w:val="22"/>
        </w:rPr>
        <w:t xml:space="preserve"> 17</w:t>
      </w:r>
      <w:r w:rsidR="00694064" w:rsidRPr="00694064">
        <w:rPr>
          <w:bCs/>
          <w:color w:val="000000"/>
          <w:sz w:val="22"/>
          <w:szCs w:val="22"/>
        </w:rPr>
        <w:t xml:space="preserve"> </w:t>
      </w:r>
      <w:r w:rsidR="00694064" w:rsidRPr="00A756C4">
        <w:rPr>
          <w:bCs/>
          <w:color w:val="000000"/>
          <w:sz w:val="22"/>
          <w:szCs w:val="22"/>
        </w:rPr>
        <w:t>billion</w:t>
      </w:r>
      <w:r w:rsidR="00360AE3">
        <w:rPr>
          <w:bCs/>
          <w:color w:val="000000"/>
          <w:sz w:val="22"/>
          <w:szCs w:val="22"/>
        </w:rPr>
        <w:t xml:space="preserve"> in Q4 2018. </w:t>
      </w:r>
      <w:r w:rsidR="0081709A" w:rsidRPr="0081709A">
        <w:rPr>
          <w:bCs/>
          <w:color w:val="000000"/>
          <w:sz w:val="22"/>
          <w:szCs w:val="22"/>
        </w:rPr>
        <w:t xml:space="preserve">Net sales of bond </w:t>
      </w:r>
      <w:r w:rsidR="008A1F77">
        <w:rPr>
          <w:bCs/>
          <w:color w:val="000000"/>
          <w:sz w:val="22"/>
          <w:szCs w:val="22"/>
        </w:rPr>
        <w:t>funds</w:t>
      </w:r>
      <w:r w:rsidR="00694064">
        <w:rPr>
          <w:bCs/>
          <w:color w:val="000000"/>
          <w:sz w:val="22"/>
          <w:szCs w:val="22"/>
        </w:rPr>
        <w:t xml:space="preserve"> recorded</w:t>
      </w:r>
      <w:r w:rsidR="008A1F77">
        <w:rPr>
          <w:bCs/>
          <w:color w:val="000000"/>
          <w:sz w:val="22"/>
          <w:szCs w:val="22"/>
        </w:rPr>
        <w:t xml:space="preserve"> </w:t>
      </w:r>
      <w:r w:rsidR="00A756C4">
        <w:rPr>
          <w:bCs/>
          <w:color w:val="000000"/>
          <w:sz w:val="22"/>
          <w:szCs w:val="22"/>
        </w:rPr>
        <w:t>net inflows of EUR 79 billion</w:t>
      </w:r>
      <w:r w:rsidR="00A756C4" w:rsidRPr="00A7353F">
        <w:rPr>
          <w:bCs/>
          <w:color w:val="000000"/>
          <w:sz w:val="22"/>
          <w:szCs w:val="22"/>
        </w:rPr>
        <w:t xml:space="preserve">, </w:t>
      </w:r>
      <w:r w:rsidR="00A756C4">
        <w:rPr>
          <w:bCs/>
          <w:color w:val="000000"/>
          <w:sz w:val="22"/>
          <w:szCs w:val="22"/>
        </w:rPr>
        <w:t xml:space="preserve">compared to net outflows of EUR 46 billion in Q4 </w:t>
      </w:r>
      <w:r w:rsidR="00A756C4" w:rsidRPr="00A7353F">
        <w:rPr>
          <w:bCs/>
          <w:color w:val="000000"/>
          <w:sz w:val="22"/>
          <w:szCs w:val="22"/>
        </w:rPr>
        <w:t>201</w:t>
      </w:r>
      <w:r w:rsidR="00A756C4">
        <w:rPr>
          <w:bCs/>
          <w:color w:val="000000"/>
          <w:sz w:val="22"/>
          <w:szCs w:val="22"/>
        </w:rPr>
        <w:t>8</w:t>
      </w:r>
      <w:r w:rsidR="00A756C4" w:rsidRPr="00A7353F">
        <w:rPr>
          <w:bCs/>
          <w:color w:val="000000"/>
          <w:sz w:val="22"/>
          <w:szCs w:val="22"/>
        </w:rPr>
        <w:t xml:space="preserve">. </w:t>
      </w:r>
      <w:r w:rsidR="00831CEF">
        <w:rPr>
          <w:bCs/>
          <w:color w:val="000000"/>
          <w:sz w:val="22"/>
          <w:szCs w:val="22"/>
        </w:rPr>
        <w:t xml:space="preserve">Net sales of money market funds </w:t>
      </w:r>
      <w:r w:rsidR="00FC532E">
        <w:rPr>
          <w:bCs/>
          <w:color w:val="000000"/>
          <w:sz w:val="22"/>
          <w:szCs w:val="22"/>
        </w:rPr>
        <w:t xml:space="preserve">recorded </w:t>
      </w:r>
      <w:r w:rsidR="00831CEF">
        <w:rPr>
          <w:bCs/>
          <w:color w:val="000000"/>
          <w:sz w:val="22"/>
          <w:szCs w:val="22"/>
        </w:rPr>
        <w:t xml:space="preserve">EUR </w:t>
      </w:r>
      <w:r w:rsidR="00360AE3">
        <w:rPr>
          <w:bCs/>
          <w:color w:val="000000"/>
          <w:sz w:val="22"/>
          <w:szCs w:val="22"/>
        </w:rPr>
        <w:t>11</w:t>
      </w:r>
      <w:r w:rsidR="00271CDD">
        <w:rPr>
          <w:bCs/>
          <w:color w:val="000000"/>
          <w:sz w:val="22"/>
          <w:szCs w:val="22"/>
        </w:rPr>
        <w:t xml:space="preserve"> </w:t>
      </w:r>
      <w:r w:rsidR="00831CEF">
        <w:rPr>
          <w:bCs/>
          <w:color w:val="000000"/>
          <w:sz w:val="22"/>
          <w:szCs w:val="22"/>
        </w:rPr>
        <w:t>billion</w:t>
      </w:r>
      <w:r w:rsidR="004A26B7">
        <w:rPr>
          <w:bCs/>
          <w:color w:val="000000"/>
          <w:sz w:val="22"/>
          <w:szCs w:val="22"/>
        </w:rPr>
        <w:t xml:space="preserve">, </w:t>
      </w:r>
      <w:r w:rsidR="00360AE3">
        <w:rPr>
          <w:bCs/>
          <w:color w:val="000000"/>
          <w:sz w:val="22"/>
          <w:szCs w:val="22"/>
        </w:rPr>
        <w:t xml:space="preserve">down from </w:t>
      </w:r>
      <w:r w:rsidR="004A26B7">
        <w:rPr>
          <w:bCs/>
          <w:color w:val="000000"/>
          <w:sz w:val="22"/>
          <w:szCs w:val="22"/>
        </w:rPr>
        <w:t xml:space="preserve">EUR </w:t>
      </w:r>
      <w:r w:rsidR="00360AE3">
        <w:rPr>
          <w:bCs/>
          <w:color w:val="000000"/>
          <w:sz w:val="22"/>
          <w:szCs w:val="22"/>
        </w:rPr>
        <w:t>2</w:t>
      </w:r>
      <w:r w:rsidR="004A26B7">
        <w:rPr>
          <w:bCs/>
          <w:color w:val="000000"/>
          <w:sz w:val="22"/>
          <w:szCs w:val="22"/>
        </w:rPr>
        <w:t>3 billion in Q4 201</w:t>
      </w:r>
      <w:r w:rsidR="00360AE3">
        <w:rPr>
          <w:bCs/>
          <w:color w:val="000000"/>
          <w:sz w:val="22"/>
          <w:szCs w:val="22"/>
        </w:rPr>
        <w:t>8</w:t>
      </w:r>
      <w:r w:rsidR="00831CEF">
        <w:rPr>
          <w:bCs/>
          <w:color w:val="000000"/>
          <w:sz w:val="22"/>
          <w:szCs w:val="22"/>
        </w:rPr>
        <w:t xml:space="preserve">. </w:t>
      </w:r>
      <w:r>
        <w:rPr>
          <w:bCs/>
          <w:color w:val="000000"/>
          <w:sz w:val="22"/>
          <w:szCs w:val="22"/>
        </w:rPr>
        <w:t xml:space="preserve"> </w:t>
      </w:r>
    </w:p>
    <w:p w14:paraId="6851E674" w14:textId="58E33769" w:rsidR="00321FA6" w:rsidRDefault="00A71E4F" w:rsidP="00321FA6">
      <w:pPr>
        <w:pStyle w:val="Footer"/>
        <w:tabs>
          <w:tab w:val="left" w:pos="720"/>
          <w:tab w:val="left" w:pos="4320"/>
        </w:tabs>
        <w:spacing w:line="260" w:lineRule="exact"/>
        <w:jc w:val="both"/>
        <w:rPr>
          <w:bCs/>
          <w:color w:val="000000"/>
          <w:sz w:val="22"/>
          <w:szCs w:val="22"/>
        </w:rPr>
      </w:pPr>
      <w:r>
        <w:rPr>
          <w:noProof/>
          <w:lang w:val="nl-BE" w:eastAsia="nl-BE"/>
        </w:rPr>
        <w:drawing>
          <wp:anchor distT="0" distB="0" distL="114300" distR="114300" simplePos="0" relativeHeight="251774976" behindDoc="0" locked="0" layoutInCell="1" allowOverlap="1" wp14:anchorId="41121B6A" wp14:editId="49D5B5A0">
            <wp:simplePos x="0" y="0"/>
            <wp:positionH relativeFrom="margin">
              <wp:posOffset>-635</wp:posOffset>
            </wp:positionH>
            <wp:positionV relativeFrom="paragraph">
              <wp:posOffset>139065</wp:posOffset>
            </wp:positionV>
            <wp:extent cx="3156585" cy="19208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6585" cy="1920875"/>
                    </a:xfrm>
                    <a:prstGeom prst="rect">
                      <a:avLst/>
                    </a:prstGeom>
                    <a:noFill/>
                  </pic:spPr>
                </pic:pic>
              </a:graphicData>
            </a:graphic>
            <wp14:sizeRelH relativeFrom="margin">
              <wp14:pctWidth>0</wp14:pctWidth>
            </wp14:sizeRelH>
            <wp14:sizeRelV relativeFrom="margin">
              <wp14:pctHeight>0</wp14:pctHeight>
            </wp14:sizeRelV>
          </wp:anchor>
        </w:drawing>
      </w:r>
    </w:p>
    <w:p w14:paraId="2902DD03" w14:textId="05A6543B" w:rsidR="00321FA6" w:rsidRPr="00955553" w:rsidRDefault="00A71E4F" w:rsidP="00321FA6">
      <w:pPr>
        <w:pStyle w:val="Footer"/>
        <w:tabs>
          <w:tab w:val="left" w:pos="720"/>
          <w:tab w:val="left" w:pos="4320"/>
        </w:tabs>
        <w:spacing w:line="260" w:lineRule="exact"/>
        <w:jc w:val="right"/>
        <w:rPr>
          <w:bCs/>
          <w:color w:val="000000"/>
          <w:sz w:val="22"/>
          <w:szCs w:val="22"/>
        </w:rPr>
      </w:pPr>
      <w:r>
        <w:rPr>
          <w:noProof/>
          <w:lang w:val="nl-BE" w:eastAsia="nl-BE"/>
        </w:rPr>
        <w:drawing>
          <wp:anchor distT="0" distB="0" distL="114300" distR="114300" simplePos="0" relativeHeight="251776000" behindDoc="0" locked="0" layoutInCell="1" allowOverlap="1" wp14:anchorId="541F2114" wp14:editId="0CA7ABFC">
            <wp:simplePos x="0" y="0"/>
            <wp:positionH relativeFrom="margin">
              <wp:align>right</wp:align>
            </wp:positionH>
            <wp:positionV relativeFrom="paragraph">
              <wp:posOffset>12065</wp:posOffset>
            </wp:positionV>
            <wp:extent cx="3153248" cy="19188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3248" cy="1918800"/>
                    </a:xfrm>
                    <a:prstGeom prst="rect">
                      <a:avLst/>
                    </a:prstGeom>
                    <a:noFill/>
                  </pic:spPr>
                </pic:pic>
              </a:graphicData>
            </a:graphic>
            <wp14:sizeRelH relativeFrom="margin">
              <wp14:pctWidth>0</wp14:pctWidth>
            </wp14:sizeRelH>
            <wp14:sizeRelV relativeFrom="margin">
              <wp14:pctHeight>0</wp14:pctHeight>
            </wp14:sizeRelV>
          </wp:anchor>
        </w:drawing>
      </w:r>
    </w:p>
    <w:p w14:paraId="6DE59301" w14:textId="1DD729B3" w:rsidR="00321FA6" w:rsidRPr="001B65E9" w:rsidRDefault="00321FA6" w:rsidP="00321FA6">
      <w:pPr>
        <w:pStyle w:val="Footer"/>
        <w:jc w:val="center"/>
        <w:rPr>
          <w:b/>
          <w:bCs/>
          <w:iCs/>
          <w:sz w:val="28"/>
          <w:szCs w:val="28"/>
          <w:lang w:val="en-US"/>
          <w14:shadow w14:blurRad="50800" w14:dist="38100" w14:dir="2700000" w14:sx="100000" w14:sy="100000" w14:kx="0" w14:ky="0" w14:algn="tl">
            <w14:srgbClr w14:val="000000">
              <w14:alpha w14:val="60000"/>
            </w14:srgbClr>
          </w14:shadow>
        </w:rPr>
      </w:pPr>
    </w:p>
    <w:p w14:paraId="1B45822E" w14:textId="291572E5" w:rsidR="009F698C" w:rsidRPr="001B65E9" w:rsidRDefault="009F698C" w:rsidP="005F2CD7">
      <w:pPr>
        <w:pStyle w:val="Footer"/>
        <w:jc w:val="center"/>
        <w:outlineLvl w:val="0"/>
        <w:rPr>
          <w:b/>
          <w:bCs/>
          <w:iCs/>
          <w:sz w:val="28"/>
          <w:szCs w:val="28"/>
          <w:lang w:val="en-US"/>
          <w14:shadow w14:blurRad="50800" w14:dist="38100" w14:dir="2700000" w14:sx="100000" w14:sy="100000" w14:kx="0" w14:ky="0" w14:algn="tl">
            <w14:srgbClr w14:val="000000">
              <w14:alpha w14:val="60000"/>
            </w14:srgbClr>
          </w14:shadow>
        </w:rPr>
      </w:pPr>
    </w:p>
    <w:p w14:paraId="549FD914" w14:textId="60EC67C6" w:rsidR="009F698C" w:rsidRPr="009F698C" w:rsidRDefault="009F698C" w:rsidP="009F698C"/>
    <w:p w14:paraId="1357C137" w14:textId="5DCDEFF9" w:rsidR="009F698C" w:rsidRPr="009F698C" w:rsidRDefault="009F698C" w:rsidP="009F698C"/>
    <w:p w14:paraId="289C1281" w14:textId="3B8B3495" w:rsidR="009F698C" w:rsidRPr="009F698C" w:rsidRDefault="009F698C" w:rsidP="009F698C"/>
    <w:p w14:paraId="067EA932" w14:textId="18035FDF" w:rsidR="009F698C" w:rsidRPr="009F698C" w:rsidRDefault="009F698C" w:rsidP="009F698C"/>
    <w:p w14:paraId="442D9DD5" w14:textId="3FEC49FF" w:rsidR="009F698C" w:rsidRPr="009F698C" w:rsidRDefault="009F698C" w:rsidP="009F698C"/>
    <w:p w14:paraId="250CD6D6" w14:textId="217C2AA8" w:rsidR="009F698C" w:rsidRPr="009F698C" w:rsidRDefault="009F698C" w:rsidP="009F698C"/>
    <w:p w14:paraId="789A9D24" w14:textId="25854C6D" w:rsidR="009F698C" w:rsidRPr="009F698C" w:rsidRDefault="009F698C" w:rsidP="009F698C"/>
    <w:p w14:paraId="5E8B6044" w14:textId="4ABE1E4C" w:rsidR="009F698C" w:rsidRPr="009F698C" w:rsidRDefault="009F698C" w:rsidP="009F698C"/>
    <w:p w14:paraId="23F90A04" w14:textId="654E3923" w:rsidR="009F698C" w:rsidRPr="009F698C" w:rsidRDefault="00A71E4F" w:rsidP="009F698C">
      <w:r>
        <w:rPr>
          <w:noProof/>
          <w:lang w:val="nl-BE" w:eastAsia="nl-BE"/>
        </w:rPr>
        <w:drawing>
          <wp:anchor distT="0" distB="0" distL="114300" distR="114300" simplePos="0" relativeHeight="251777024" behindDoc="0" locked="0" layoutInCell="1" allowOverlap="1" wp14:anchorId="775187F0" wp14:editId="76733C53">
            <wp:simplePos x="0" y="0"/>
            <wp:positionH relativeFrom="margin">
              <wp:posOffset>-66675</wp:posOffset>
            </wp:positionH>
            <wp:positionV relativeFrom="paragraph">
              <wp:posOffset>181610</wp:posOffset>
            </wp:positionV>
            <wp:extent cx="3153248" cy="19188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3248" cy="1918800"/>
                    </a:xfrm>
                    <a:prstGeom prst="rect">
                      <a:avLst/>
                    </a:prstGeom>
                    <a:noFill/>
                  </pic:spPr>
                </pic:pic>
              </a:graphicData>
            </a:graphic>
            <wp14:sizeRelH relativeFrom="margin">
              <wp14:pctWidth>0</wp14:pctWidth>
            </wp14:sizeRelH>
            <wp14:sizeRelV relativeFrom="margin">
              <wp14:pctHeight>0</wp14:pctHeight>
            </wp14:sizeRelV>
          </wp:anchor>
        </w:drawing>
      </w:r>
    </w:p>
    <w:p w14:paraId="2401F1DA" w14:textId="1FA7D808" w:rsidR="009F698C" w:rsidRPr="009F698C" w:rsidRDefault="00A71E4F" w:rsidP="009F698C">
      <w:r>
        <w:rPr>
          <w:noProof/>
          <w:lang w:val="nl-BE" w:eastAsia="nl-BE"/>
        </w:rPr>
        <w:drawing>
          <wp:anchor distT="0" distB="0" distL="114300" distR="114300" simplePos="0" relativeHeight="251778048" behindDoc="0" locked="0" layoutInCell="1" allowOverlap="1" wp14:anchorId="06F3BF56" wp14:editId="05175BC3">
            <wp:simplePos x="0" y="0"/>
            <wp:positionH relativeFrom="margin">
              <wp:align>right</wp:align>
            </wp:positionH>
            <wp:positionV relativeFrom="paragraph">
              <wp:posOffset>6350</wp:posOffset>
            </wp:positionV>
            <wp:extent cx="3152775" cy="191833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2775" cy="1918335"/>
                    </a:xfrm>
                    <a:prstGeom prst="rect">
                      <a:avLst/>
                    </a:prstGeom>
                    <a:noFill/>
                  </pic:spPr>
                </pic:pic>
              </a:graphicData>
            </a:graphic>
            <wp14:sizeRelH relativeFrom="margin">
              <wp14:pctWidth>0</wp14:pctWidth>
            </wp14:sizeRelH>
            <wp14:sizeRelV relativeFrom="margin">
              <wp14:pctHeight>0</wp14:pctHeight>
            </wp14:sizeRelV>
          </wp:anchor>
        </w:drawing>
      </w:r>
    </w:p>
    <w:p w14:paraId="79A80D16" w14:textId="64B81C00" w:rsidR="009F698C" w:rsidRPr="009F698C" w:rsidRDefault="009F698C" w:rsidP="009F698C"/>
    <w:p w14:paraId="3F0AFD7A" w14:textId="2DE84897" w:rsidR="009F698C" w:rsidRPr="009F698C" w:rsidRDefault="009F698C" w:rsidP="009F698C"/>
    <w:p w14:paraId="23AB0E29" w14:textId="7EC431DF" w:rsidR="009F698C" w:rsidRPr="009F698C" w:rsidRDefault="009F698C" w:rsidP="009F698C"/>
    <w:p w14:paraId="744AF064" w14:textId="65BF675B" w:rsidR="009F698C" w:rsidRPr="009F698C" w:rsidRDefault="009F698C" w:rsidP="009F698C"/>
    <w:p w14:paraId="79F520B0" w14:textId="26402045" w:rsidR="009F698C" w:rsidRPr="009F698C" w:rsidRDefault="009F698C" w:rsidP="009F698C"/>
    <w:p w14:paraId="4BF40396" w14:textId="378CCCFB" w:rsidR="009F698C" w:rsidRPr="009F698C" w:rsidRDefault="009F698C" w:rsidP="009F698C"/>
    <w:p w14:paraId="6B3A70E0" w14:textId="0BD61BC9" w:rsidR="009F698C" w:rsidRDefault="009F698C" w:rsidP="005F2CD7">
      <w:pPr>
        <w:pStyle w:val="Footer"/>
        <w:jc w:val="center"/>
        <w:outlineLvl w:val="0"/>
      </w:pPr>
    </w:p>
    <w:p w14:paraId="3C0923FB" w14:textId="5484F2B7" w:rsidR="009F698C" w:rsidRDefault="009F698C" w:rsidP="005F2CD7">
      <w:pPr>
        <w:pStyle w:val="Footer"/>
        <w:jc w:val="center"/>
        <w:outlineLvl w:val="0"/>
      </w:pPr>
    </w:p>
    <w:p w14:paraId="45B62F85" w14:textId="7715F6D9" w:rsidR="009F698C" w:rsidRDefault="009F698C" w:rsidP="009F698C">
      <w:pPr>
        <w:pStyle w:val="Footer"/>
        <w:tabs>
          <w:tab w:val="clear" w:pos="8640"/>
          <w:tab w:val="left" w:pos="5040"/>
          <w:tab w:val="left" w:pos="5760"/>
          <w:tab w:val="left" w:pos="6480"/>
          <w:tab w:val="left" w:pos="7200"/>
        </w:tabs>
        <w:outlineLvl w:val="0"/>
      </w:pPr>
      <w:r>
        <w:tab/>
      </w:r>
      <w:r>
        <w:tab/>
      </w:r>
      <w:r>
        <w:tab/>
      </w:r>
      <w:r>
        <w:tab/>
      </w:r>
      <w:r>
        <w:tab/>
      </w:r>
      <w:r>
        <w:tab/>
      </w:r>
    </w:p>
    <w:p w14:paraId="7949EB43" w14:textId="255B6612" w:rsidR="001D6932" w:rsidRPr="001B65E9" w:rsidRDefault="00A71E4F" w:rsidP="005F2CD7">
      <w:pPr>
        <w:pStyle w:val="Footer"/>
        <w:jc w:val="center"/>
        <w:outlineLvl w:val="0"/>
        <w:rPr>
          <w:b/>
          <w:bCs/>
          <w:iCs/>
          <w:sz w:val="28"/>
          <w:szCs w:val="28"/>
          <w:lang w:val="en-US"/>
          <w14:shadow w14:blurRad="50800" w14:dist="38100" w14:dir="2700000" w14:sx="100000" w14:sy="100000" w14:kx="0" w14:ky="0" w14:algn="tl">
            <w14:srgbClr w14:val="000000">
              <w14:alpha w14:val="60000"/>
            </w14:srgbClr>
          </w14:shadow>
        </w:rPr>
      </w:pPr>
      <w:r>
        <w:rPr>
          <w:noProof/>
          <w:lang w:val="nl-BE" w:eastAsia="nl-BE"/>
        </w:rPr>
        <w:drawing>
          <wp:anchor distT="0" distB="0" distL="114300" distR="114300" simplePos="0" relativeHeight="251780096" behindDoc="0" locked="0" layoutInCell="1" allowOverlap="1" wp14:anchorId="1A300693" wp14:editId="0FD88025">
            <wp:simplePos x="0" y="0"/>
            <wp:positionH relativeFrom="margin">
              <wp:align>right</wp:align>
            </wp:positionH>
            <wp:positionV relativeFrom="paragraph">
              <wp:posOffset>703580</wp:posOffset>
            </wp:positionV>
            <wp:extent cx="3153248" cy="19188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53248" cy="1918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nl-BE" w:eastAsia="nl-BE"/>
        </w:rPr>
        <w:drawing>
          <wp:anchor distT="0" distB="0" distL="114300" distR="114300" simplePos="0" relativeHeight="251779072" behindDoc="0" locked="0" layoutInCell="1" allowOverlap="1" wp14:anchorId="74AA1887" wp14:editId="3C16AE99">
            <wp:simplePos x="0" y="0"/>
            <wp:positionH relativeFrom="margin">
              <wp:posOffset>-635</wp:posOffset>
            </wp:positionH>
            <wp:positionV relativeFrom="paragraph">
              <wp:posOffset>684530</wp:posOffset>
            </wp:positionV>
            <wp:extent cx="3152775" cy="191833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52775" cy="1918335"/>
                    </a:xfrm>
                    <a:prstGeom prst="rect">
                      <a:avLst/>
                    </a:prstGeom>
                    <a:noFill/>
                  </pic:spPr>
                </pic:pic>
              </a:graphicData>
            </a:graphic>
            <wp14:sizeRelH relativeFrom="margin">
              <wp14:pctWidth>0</wp14:pctWidth>
            </wp14:sizeRelH>
            <wp14:sizeRelV relativeFrom="margin">
              <wp14:pctHeight>0</wp14:pctHeight>
            </wp14:sizeRelV>
          </wp:anchor>
        </w:drawing>
      </w:r>
      <w:r w:rsidR="00321FA6" w:rsidRPr="009F698C">
        <w:br w:type="page"/>
      </w:r>
      <w:bookmarkStart w:id="0" w:name="OLE_LINK3"/>
      <w:r w:rsidR="005F2CD7" w:rsidRPr="001B65E9">
        <w:rPr>
          <w:b/>
          <w:bCs/>
          <w:iCs/>
          <w:sz w:val="28"/>
          <w:szCs w:val="28"/>
          <w:lang w:val="en-US"/>
          <w14:shadow w14:blurRad="50800" w14:dist="38100" w14:dir="2700000" w14:sx="100000" w14:sy="100000" w14:kx="0" w14:ky="0" w14:algn="tl">
            <w14:srgbClr w14:val="000000">
              <w14:alpha w14:val="60000"/>
            </w14:srgbClr>
          </w14:shadow>
        </w:rPr>
        <w:lastRenderedPageBreak/>
        <w:t>Tr</w:t>
      </w:r>
      <w:r w:rsidR="001D6932" w:rsidRPr="001B65E9">
        <w:rPr>
          <w:b/>
          <w:bCs/>
          <w:iCs/>
          <w:sz w:val="28"/>
          <w:szCs w:val="28"/>
          <w:lang w:val="en-US"/>
          <w14:shadow w14:blurRad="50800" w14:dist="38100" w14:dir="2700000" w14:sx="100000" w14:sy="100000" w14:kx="0" w14:ky="0" w14:algn="tl">
            <w14:srgbClr w14:val="000000">
              <w14:alpha w14:val="60000"/>
            </w14:srgbClr>
          </w14:shadow>
        </w:rPr>
        <w:t>ends in the UCITS Market</w:t>
      </w:r>
    </w:p>
    <w:p w14:paraId="23D36366" w14:textId="77777777" w:rsidR="00770065" w:rsidRDefault="00770065" w:rsidP="00770065">
      <w:pPr>
        <w:pStyle w:val="Footer"/>
        <w:jc w:val="center"/>
        <w:rPr>
          <w:b/>
          <w:bCs/>
          <w:i/>
          <w:iCs/>
          <w:sz w:val="16"/>
          <w:szCs w:val="16"/>
          <w:lang w:val="en-US"/>
        </w:rPr>
      </w:pPr>
      <w:r w:rsidRPr="001B65E9">
        <w:rPr>
          <w:b/>
          <w:bCs/>
          <w:i/>
          <w:iCs/>
          <w:sz w:val="28"/>
          <w:szCs w:val="28"/>
          <w:lang w:val="en-US"/>
          <w14:shadow w14:blurRad="50800" w14:dist="38100" w14:dir="2700000" w14:sx="100000" w14:sy="100000" w14:kx="0" w14:ky="0" w14:algn="tl">
            <w14:srgbClr w14:val="000000">
              <w14:alpha w14:val="60000"/>
            </w14:srgbClr>
          </w14:shadow>
        </w:rPr>
        <w:t xml:space="preserve">Net </w:t>
      </w:r>
      <w:r w:rsidR="0074146A" w:rsidRPr="001B65E9">
        <w:rPr>
          <w:b/>
          <w:bCs/>
          <w:i/>
          <w:iCs/>
          <w:sz w:val="28"/>
          <w:szCs w:val="28"/>
          <w:lang w:val="en-US"/>
          <w14:shadow w14:blurRad="50800" w14:dist="38100" w14:dir="2700000" w14:sx="100000" w14:sy="100000" w14:kx="0" w14:ky="0" w14:algn="tl">
            <w14:srgbClr w14:val="000000">
              <w14:alpha w14:val="60000"/>
            </w14:srgbClr>
          </w14:shadow>
        </w:rPr>
        <w:t>Sales by Country of Domiciliation and Investment Type</w:t>
      </w:r>
    </w:p>
    <w:p w14:paraId="7F9915D8" w14:textId="77777777" w:rsidR="001D6932" w:rsidRDefault="001D6932" w:rsidP="00770065">
      <w:pPr>
        <w:spacing w:line="260" w:lineRule="atLeast"/>
        <w:jc w:val="both"/>
        <w:rPr>
          <w:b/>
          <w:color w:val="0000FF"/>
          <w:sz w:val="22"/>
          <w:szCs w:val="22"/>
          <w:lang w:eastAsia="fr-FR"/>
        </w:rPr>
      </w:pPr>
    </w:p>
    <w:p w14:paraId="2EE7FED9" w14:textId="14030B73" w:rsidR="00221202" w:rsidRPr="00622197" w:rsidRDefault="00771A36" w:rsidP="00770065">
      <w:pPr>
        <w:spacing w:line="260" w:lineRule="atLeast"/>
        <w:jc w:val="both"/>
        <w:rPr>
          <w:b/>
          <w:color w:val="0000FF"/>
          <w:sz w:val="22"/>
          <w:szCs w:val="22"/>
          <w:lang w:eastAsia="fr-FR"/>
        </w:rPr>
      </w:pPr>
      <w:r>
        <w:rPr>
          <w:b/>
          <w:color w:val="0000FF"/>
          <w:sz w:val="22"/>
          <w:szCs w:val="22"/>
          <w:lang w:eastAsia="fr-FR"/>
        </w:rPr>
        <w:t xml:space="preserve">Fifteen </w:t>
      </w:r>
      <w:r w:rsidR="00656DDE" w:rsidRPr="00622197">
        <w:rPr>
          <w:b/>
          <w:color w:val="0000FF"/>
          <w:sz w:val="22"/>
          <w:szCs w:val="22"/>
          <w:lang w:eastAsia="fr-FR"/>
        </w:rPr>
        <w:t>countries registered</w:t>
      </w:r>
      <w:r w:rsidR="00783D39" w:rsidRPr="00622197">
        <w:rPr>
          <w:b/>
          <w:color w:val="0000FF"/>
          <w:sz w:val="22"/>
          <w:szCs w:val="22"/>
          <w:lang w:eastAsia="fr-FR"/>
        </w:rPr>
        <w:t xml:space="preserve"> net inflows</w:t>
      </w:r>
      <w:r w:rsidR="00000E96" w:rsidRPr="00622197">
        <w:rPr>
          <w:b/>
          <w:color w:val="0000FF"/>
          <w:sz w:val="22"/>
          <w:szCs w:val="22"/>
          <w:lang w:eastAsia="fr-FR"/>
        </w:rPr>
        <w:t xml:space="preserve"> into UCITS</w:t>
      </w:r>
      <w:r w:rsidR="00656DDE" w:rsidRPr="00622197">
        <w:rPr>
          <w:b/>
          <w:color w:val="0000FF"/>
          <w:sz w:val="22"/>
          <w:szCs w:val="22"/>
          <w:lang w:eastAsia="fr-FR"/>
        </w:rPr>
        <w:t xml:space="preserve"> in </w:t>
      </w:r>
      <w:r w:rsidR="008C3A89">
        <w:rPr>
          <w:b/>
          <w:color w:val="0000FF"/>
          <w:sz w:val="22"/>
          <w:szCs w:val="22"/>
          <w:lang w:eastAsia="fr-FR"/>
        </w:rPr>
        <w:t xml:space="preserve">Q1 </w:t>
      </w:r>
      <w:r w:rsidR="001A17F7" w:rsidRPr="00622197">
        <w:rPr>
          <w:b/>
          <w:color w:val="0000FF"/>
          <w:sz w:val="22"/>
          <w:szCs w:val="22"/>
          <w:lang w:eastAsia="fr-FR"/>
        </w:rPr>
        <w:t>201</w:t>
      </w:r>
      <w:r>
        <w:rPr>
          <w:b/>
          <w:color w:val="0000FF"/>
          <w:sz w:val="22"/>
          <w:szCs w:val="22"/>
          <w:lang w:eastAsia="fr-FR"/>
        </w:rPr>
        <w:t>9</w:t>
      </w:r>
      <w:r w:rsidR="001A17F7" w:rsidRPr="00622197">
        <w:rPr>
          <w:b/>
          <w:color w:val="0000FF"/>
          <w:sz w:val="22"/>
          <w:szCs w:val="22"/>
          <w:lang w:eastAsia="fr-FR"/>
        </w:rPr>
        <w:t xml:space="preserve">, </w:t>
      </w:r>
      <w:r w:rsidR="009C5394" w:rsidRPr="00622197">
        <w:rPr>
          <w:b/>
          <w:color w:val="0000FF"/>
          <w:sz w:val="22"/>
          <w:szCs w:val="22"/>
          <w:lang w:eastAsia="fr-FR"/>
        </w:rPr>
        <w:t xml:space="preserve">with </w:t>
      </w:r>
      <w:r>
        <w:rPr>
          <w:b/>
          <w:color w:val="0000FF"/>
          <w:sz w:val="22"/>
          <w:szCs w:val="22"/>
          <w:lang w:eastAsia="fr-FR"/>
        </w:rPr>
        <w:t>eight</w:t>
      </w:r>
      <w:r w:rsidR="006A7BBC" w:rsidRPr="00622197">
        <w:rPr>
          <w:b/>
          <w:color w:val="0000FF"/>
          <w:sz w:val="22"/>
          <w:szCs w:val="22"/>
          <w:lang w:eastAsia="fr-FR"/>
        </w:rPr>
        <w:t xml:space="preserve"> countries recording</w:t>
      </w:r>
      <w:r w:rsidR="00622197">
        <w:rPr>
          <w:b/>
          <w:color w:val="0000FF"/>
          <w:sz w:val="22"/>
          <w:szCs w:val="22"/>
          <w:lang w:eastAsia="fr-FR"/>
        </w:rPr>
        <w:t xml:space="preserve"> </w:t>
      </w:r>
      <w:r w:rsidR="006A7BBC" w:rsidRPr="00622197">
        <w:rPr>
          <w:b/>
          <w:color w:val="0000FF"/>
          <w:sz w:val="22"/>
          <w:szCs w:val="22"/>
          <w:lang w:eastAsia="fr-FR"/>
        </w:rPr>
        <w:t>net inf</w:t>
      </w:r>
      <w:r w:rsidR="009E04B4" w:rsidRPr="00622197">
        <w:rPr>
          <w:b/>
          <w:color w:val="0000FF"/>
          <w:sz w:val="22"/>
          <w:szCs w:val="22"/>
          <w:lang w:eastAsia="fr-FR"/>
        </w:rPr>
        <w:t xml:space="preserve">lows </w:t>
      </w:r>
      <w:r w:rsidR="009C5394" w:rsidRPr="00622197">
        <w:rPr>
          <w:b/>
          <w:color w:val="0000FF"/>
          <w:sz w:val="22"/>
          <w:szCs w:val="22"/>
          <w:lang w:eastAsia="fr-FR"/>
        </w:rPr>
        <w:t>above</w:t>
      </w:r>
      <w:r w:rsidR="009E04B4" w:rsidRPr="00622197">
        <w:rPr>
          <w:b/>
          <w:color w:val="0000FF"/>
          <w:sz w:val="22"/>
          <w:szCs w:val="22"/>
          <w:lang w:eastAsia="fr-FR"/>
        </w:rPr>
        <w:t xml:space="preserve"> EUR 1 billion.</w:t>
      </w:r>
    </w:p>
    <w:p w14:paraId="15289C95" w14:textId="77777777" w:rsidR="00221202" w:rsidRDefault="00221202" w:rsidP="00770065">
      <w:pPr>
        <w:spacing w:line="260" w:lineRule="atLeast"/>
        <w:jc w:val="both"/>
        <w:rPr>
          <w:b/>
          <w:color w:val="0000FF"/>
          <w:sz w:val="22"/>
          <w:szCs w:val="22"/>
          <w:lang w:eastAsia="fr-FR"/>
        </w:rPr>
      </w:pPr>
    </w:p>
    <w:p w14:paraId="0878157D" w14:textId="77777777" w:rsidR="005C7759" w:rsidRDefault="0086073F" w:rsidP="00DB7179">
      <w:pPr>
        <w:spacing w:line="260" w:lineRule="atLeast"/>
        <w:jc w:val="both"/>
        <w:rPr>
          <w:sz w:val="22"/>
          <w:szCs w:val="22"/>
          <w:lang w:eastAsia="fr-FR"/>
        </w:rPr>
      </w:pPr>
      <w:r>
        <w:rPr>
          <w:sz w:val="22"/>
          <w:szCs w:val="22"/>
          <w:lang w:eastAsia="fr-FR"/>
        </w:rPr>
        <w:t>In Q1 201</w:t>
      </w:r>
      <w:r w:rsidR="00771A36">
        <w:rPr>
          <w:sz w:val="22"/>
          <w:szCs w:val="22"/>
          <w:lang w:eastAsia="fr-FR"/>
        </w:rPr>
        <w:t>9</w:t>
      </w:r>
      <w:r>
        <w:rPr>
          <w:sz w:val="22"/>
          <w:szCs w:val="22"/>
          <w:lang w:eastAsia="fr-FR"/>
        </w:rPr>
        <w:t xml:space="preserve">, the five domiciles with the largest net sales were </w:t>
      </w:r>
      <w:r w:rsidR="00771A36">
        <w:rPr>
          <w:sz w:val="22"/>
          <w:szCs w:val="22"/>
          <w:lang w:eastAsia="fr-FR"/>
        </w:rPr>
        <w:t xml:space="preserve">Ireland (EUR 26.7 billion), followed by France (EUR 20.2 billion), Switzerland (EUR 15.2 billion), </w:t>
      </w:r>
      <w:r w:rsidRPr="00400550">
        <w:rPr>
          <w:sz w:val="22"/>
          <w:szCs w:val="22"/>
          <w:lang w:eastAsia="fr-FR"/>
        </w:rPr>
        <w:t xml:space="preserve">Luxembourg </w:t>
      </w:r>
      <w:r>
        <w:rPr>
          <w:sz w:val="22"/>
          <w:szCs w:val="22"/>
          <w:lang w:eastAsia="fr-FR"/>
        </w:rPr>
        <w:t xml:space="preserve">(EUR </w:t>
      </w:r>
      <w:r w:rsidR="00694064">
        <w:rPr>
          <w:sz w:val="22"/>
          <w:szCs w:val="22"/>
          <w:lang w:eastAsia="fr-FR"/>
        </w:rPr>
        <w:t>4.8</w:t>
      </w:r>
      <w:r>
        <w:rPr>
          <w:sz w:val="22"/>
          <w:szCs w:val="22"/>
          <w:lang w:eastAsia="fr-FR"/>
        </w:rPr>
        <w:t xml:space="preserve"> billion)</w:t>
      </w:r>
      <w:r w:rsidR="00EA0436">
        <w:rPr>
          <w:sz w:val="22"/>
          <w:szCs w:val="22"/>
          <w:lang w:eastAsia="fr-FR"/>
        </w:rPr>
        <w:t xml:space="preserve"> and Turkey</w:t>
      </w:r>
      <w:r>
        <w:rPr>
          <w:sz w:val="22"/>
          <w:szCs w:val="22"/>
          <w:lang w:eastAsia="fr-FR"/>
        </w:rPr>
        <w:t xml:space="preserve"> (EUR </w:t>
      </w:r>
      <w:r w:rsidR="00EA0436">
        <w:rPr>
          <w:sz w:val="22"/>
          <w:szCs w:val="22"/>
          <w:lang w:eastAsia="fr-FR"/>
        </w:rPr>
        <w:t>2.6</w:t>
      </w:r>
      <w:r>
        <w:rPr>
          <w:sz w:val="22"/>
          <w:szCs w:val="22"/>
          <w:lang w:eastAsia="fr-FR"/>
        </w:rPr>
        <w:t xml:space="preserve"> billion)</w:t>
      </w:r>
      <w:r w:rsidR="00EA0436">
        <w:rPr>
          <w:sz w:val="22"/>
          <w:szCs w:val="22"/>
          <w:lang w:eastAsia="fr-FR"/>
        </w:rPr>
        <w:t>.</w:t>
      </w:r>
    </w:p>
    <w:p w14:paraId="1A5DD621" w14:textId="77777777" w:rsidR="005C7759" w:rsidRDefault="005C7759" w:rsidP="00DB7179">
      <w:pPr>
        <w:spacing w:line="260" w:lineRule="atLeast"/>
        <w:jc w:val="both"/>
        <w:rPr>
          <w:sz w:val="22"/>
          <w:szCs w:val="22"/>
          <w:lang w:eastAsia="fr-FR"/>
        </w:rPr>
      </w:pPr>
    </w:p>
    <w:p w14:paraId="72F96EC6" w14:textId="1721CDBC" w:rsidR="00120B7B" w:rsidRDefault="00120B7B" w:rsidP="00DB7179">
      <w:pPr>
        <w:spacing w:line="260" w:lineRule="atLeast"/>
        <w:jc w:val="both"/>
        <w:rPr>
          <w:sz w:val="22"/>
          <w:szCs w:val="22"/>
          <w:lang w:eastAsia="fr-FR"/>
        </w:rPr>
      </w:pPr>
      <w:r w:rsidRPr="00D32CFA">
        <w:rPr>
          <w:sz w:val="22"/>
          <w:szCs w:val="22"/>
          <w:lang w:eastAsia="fr-FR"/>
        </w:rPr>
        <w:t xml:space="preserve">The unusually strong inflows in Turkey in Q1 2019 were </w:t>
      </w:r>
      <w:r w:rsidR="009907AE">
        <w:rPr>
          <w:sz w:val="22"/>
          <w:szCs w:val="22"/>
          <w:lang w:eastAsia="fr-FR"/>
        </w:rPr>
        <w:t xml:space="preserve">driven by </w:t>
      </w:r>
      <w:r w:rsidRPr="00D32CFA">
        <w:rPr>
          <w:sz w:val="22"/>
          <w:szCs w:val="22"/>
          <w:lang w:eastAsia="fr-FR"/>
        </w:rPr>
        <w:t xml:space="preserve">investors </w:t>
      </w:r>
      <w:r w:rsidR="009907AE">
        <w:rPr>
          <w:sz w:val="22"/>
          <w:szCs w:val="22"/>
          <w:lang w:eastAsia="fr-FR"/>
        </w:rPr>
        <w:t xml:space="preserve">moving </w:t>
      </w:r>
      <w:r w:rsidRPr="00D32CFA">
        <w:rPr>
          <w:sz w:val="22"/>
          <w:szCs w:val="22"/>
          <w:lang w:eastAsia="fr-FR"/>
        </w:rPr>
        <w:t xml:space="preserve">into money markets funds  in search of a higher-yield alternative </w:t>
      </w:r>
      <w:r w:rsidR="006446C8" w:rsidRPr="00D32CFA">
        <w:rPr>
          <w:sz w:val="22"/>
          <w:szCs w:val="22"/>
          <w:lang w:eastAsia="fr-FR"/>
        </w:rPr>
        <w:t>to bank</w:t>
      </w:r>
      <w:r w:rsidRPr="00D32CFA">
        <w:rPr>
          <w:sz w:val="22"/>
          <w:szCs w:val="22"/>
          <w:lang w:eastAsia="fr-FR"/>
        </w:rPr>
        <w:t xml:space="preserve"> deposits.</w:t>
      </w:r>
    </w:p>
    <w:p w14:paraId="156A7D26" w14:textId="77777777" w:rsidR="00120B7B" w:rsidRDefault="00120B7B" w:rsidP="00130663">
      <w:pPr>
        <w:rPr>
          <w:sz w:val="22"/>
          <w:szCs w:val="22"/>
          <w:lang w:eastAsia="fr-FR"/>
        </w:rPr>
      </w:pPr>
    </w:p>
    <w:p w14:paraId="00691746" w14:textId="26C745CF" w:rsidR="00624868" w:rsidRPr="00E303FC" w:rsidRDefault="00C0265B" w:rsidP="00DB7179">
      <w:pPr>
        <w:spacing w:line="260" w:lineRule="atLeast"/>
        <w:jc w:val="both"/>
        <w:rPr>
          <w:sz w:val="22"/>
          <w:szCs w:val="22"/>
          <w:lang w:eastAsia="fr-FR"/>
        </w:rPr>
      </w:pPr>
      <w:r w:rsidRPr="00C0553E">
        <w:rPr>
          <w:sz w:val="22"/>
          <w:szCs w:val="22"/>
          <w:lang w:eastAsia="fr-FR"/>
        </w:rPr>
        <w:t xml:space="preserve">Flows </w:t>
      </w:r>
      <w:r w:rsidR="009907AE">
        <w:rPr>
          <w:sz w:val="22"/>
          <w:szCs w:val="22"/>
          <w:lang w:eastAsia="fr-FR"/>
        </w:rPr>
        <w:t>into</w:t>
      </w:r>
      <w:r w:rsidRPr="00C0553E">
        <w:rPr>
          <w:sz w:val="22"/>
          <w:szCs w:val="22"/>
          <w:lang w:eastAsia="fr-FR"/>
        </w:rPr>
        <w:t xml:space="preserve"> </w:t>
      </w:r>
      <w:r w:rsidR="00DB7179" w:rsidRPr="00C0553E">
        <w:rPr>
          <w:sz w:val="22"/>
          <w:szCs w:val="22"/>
          <w:lang w:eastAsia="fr-FR"/>
        </w:rPr>
        <w:t xml:space="preserve">money market funds </w:t>
      </w:r>
      <w:r w:rsidR="00C0553E">
        <w:rPr>
          <w:sz w:val="22"/>
          <w:szCs w:val="22"/>
          <w:lang w:eastAsia="fr-FR"/>
        </w:rPr>
        <w:t xml:space="preserve">declined or even </w:t>
      </w:r>
      <w:r w:rsidR="00C0553E" w:rsidRPr="00C0553E">
        <w:rPr>
          <w:sz w:val="22"/>
          <w:szCs w:val="22"/>
          <w:lang w:eastAsia="fr-FR"/>
        </w:rPr>
        <w:t xml:space="preserve">dropped to zero </w:t>
      </w:r>
      <w:r w:rsidR="00C0553E">
        <w:rPr>
          <w:sz w:val="22"/>
          <w:szCs w:val="22"/>
          <w:lang w:eastAsia="fr-FR"/>
        </w:rPr>
        <w:t>in</w:t>
      </w:r>
      <w:r w:rsidR="00C0553E" w:rsidRPr="00C0553E">
        <w:rPr>
          <w:sz w:val="22"/>
          <w:szCs w:val="22"/>
          <w:lang w:eastAsia="fr-FR"/>
        </w:rPr>
        <w:t xml:space="preserve"> </w:t>
      </w:r>
      <w:r w:rsidR="00DB7179" w:rsidRPr="00C0553E">
        <w:rPr>
          <w:sz w:val="22"/>
          <w:szCs w:val="22"/>
          <w:lang w:eastAsia="fr-FR"/>
        </w:rPr>
        <w:t>several countries</w:t>
      </w:r>
      <w:r w:rsidR="003256C2" w:rsidRPr="00C0553E">
        <w:rPr>
          <w:sz w:val="22"/>
          <w:szCs w:val="22"/>
          <w:lang w:eastAsia="fr-FR"/>
        </w:rPr>
        <w:t>,</w:t>
      </w:r>
      <w:r w:rsidR="00DB7179" w:rsidRPr="00C0553E">
        <w:rPr>
          <w:sz w:val="22"/>
          <w:szCs w:val="22"/>
          <w:lang w:eastAsia="fr-FR"/>
        </w:rPr>
        <w:t xml:space="preserve"> such as Poland</w:t>
      </w:r>
      <w:r w:rsidR="00C0553E">
        <w:rPr>
          <w:sz w:val="22"/>
          <w:szCs w:val="22"/>
          <w:lang w:eastAsia="fr-FR"/>
        </w:rPr>
        <w:t xml:space="preserve">, </w:t>
      </w:r>
      <w:r w:rsidR="00DB7179" w:rsidRPr="00C0553E">
        <w:rPr>
          <w:sz w:val="22"/>
          <w:szCs w:val="22"/>
          <w:lang w:eastAsia="fr-FR"/>
        </w:rPr>
        <w:t>Portugal</w:t>
      </w:r>
      <w:r w:rsidR="00C0553E">
        <w:rPr>
          <w:sz w:val="22"/>
          <w:szCs w:val="22"/>
          <w:lang w:eastAsia="fr-FR"/>
        </w:rPr>
        <w:t xml:space="preserve"> and </w:t>
      </w:r>
      <w:r w:rsidR="00C0553E" w:rsidRPr="00C0553E">
        <w:rPr>
          <w:sz w:val="22"/>
          <w:szCs w:val="22"/>
          <w:lang w:eastAsia="fr-FR"/>
        </w:rPr>
        <w:t>Sweden</w:t>
      </w:r>
      <w:r w:rsidR="009907AE">
        <w:rPr>
          <w:sz w:val="22"/>
          <w:szCs w:val="22"/>
          <w:lang w:eastAsia="fr-FR"/>
        </w:rPr>
        <w:t xml:space="preserve">, as a </w:t>
      </w:r>
      <w:r w:rsidR="00DB7179" w:rsidRPr="00C0553E">
        <w:rPr>
          <w:sz w:val="22"/>
          <w:szCs w:val="22"/>
          <w:lang w:eastAsia="fr-FR"/>
        </w:rPr>
        <w:t>result of the new EU regulation on money market funds (MMF)</w:t>
      </w:r>
      <w:r w:rsidRPr="00C0553E">
        <w:rPr>
          <w:sz w:val="22"/>
          <w:szCs w:val="22"/>
          <w:lang w:eastAsia="fr-FR"/>
        </w:rPr>
        <w:t xml:space="preserve">, which </w:t>
      </w:r>
      <w:r w:rsidR="00DB7179" w:rsidRPr="00C0553E">
        <w:rPr>
          <w:sz w:val="22"/>
          <w:szCs w:val="22"/>
          <w:lang w:eastAsia="fr-FR"/>
        </w:rPr>
        <w:t>introduce</w:t>
      </w:r>
      <w:r w:rsidR="009907AE">
        <w:rPr>
          <w:sz w:val="22"/>
          <w:szCs w:val="22"/>
          <w:lang w:eastAsia="fr-FR"/>
        </w:rPr>
        <w:t>d</w:t>
      </w:r>
      <w:r w:rsidR="00DB7179" w:rsidRPr="00C0553E">
        <w:rPr>
          <w:sz w:val="22"/>
          <w:szCs w:val="22"/>
          <w:lang w:eastAsia="fr-FR"/>
        </w:rPr>
        <w:t xml:space="preserve"> more stringent requirements</w:t>
      </w:r>
      <w:r w:rsidR="00C0553E">
        <w:rPr>
          <w:sz w:val="22"/>
          <w:szCs w:val="22"/>
          <w:lang w:eastAsia="fr-FR"/>
        </w:rPr>
        <w:t xml:space="preserve"> on MMF fund managers. </w:t>
      </w:r>
      <w:bookmarkStart w:id="1" w:name="_Hlk10050500"/>
      <w:r w:rsidR="00C0553E">
        <w:rPr>
          <w:sz w:val="22"/>
          <w:szCs w:val="22"/>
          <w:lang w:eastAsia="fr-FR"/>
        </w:rPr>
        <w:t xml:space="preserve">These stricter rules led </w:t>
      </w:r>
      <w:r w:rsidR="001A7D71">
        <w:rPr>
          <w:sz w:val="22"/>
          <w:szCs w:val="22"/>
          <w:lang w:eastAsia="fr-FR"/>
        </w:rPr>
        <w:t>some</w:t>
      </w:r>
      <w:r w:rsidR="00DB7179" w:rsidRPr="00C0553E">
        <w:rPr>
          <w:sz w:val="22"/>
          <w:szCs w:val="22"/>
          <w:lang w:eastAsia="fr-FR"/>
        </w:rPr>
        <w:t xml:space="preserve"> </w:t>
      </w:r>
      <w:r w:rsidR="00C0553E">
        <w:rPr>
          <w:sz w:val="22"/>
          <w:szCs w:val="22"/>
          <w:lang w:eastAsia="fr-FR"/>
        </w:rPr>
        <w:t>MMF</w:t>
      </w:r>
      <w:r w:rsidR="00DB7179" w:rsidRPr="00C0553E">
        <w:rPr>
          <w:sz w:val="22"/>
          <w:szCs w:val="22"/>
          <w:lang w:eastAsia="fr-FR"/>
        </w:rPr>
        <w:t xml:space="preserve"> managers to transform their MMFs into short-term bond fund</w:t>
      </w:r>
      <w:r w:rsidR="00C26C76" w:rsidRPr="00C0553E">
        <w:rPr>
          <w:sz w:val="22"/>
          <w:szCs w:val="22"/>
          <w:lang w:eastAsia="fr-FR"/>
        </w:rPr>
        <w:t>s</w:t>
      </w:r>
      <w:r w:rsidR="00C0553E">
        <w:rPr>
          <w:sz w:val="22"/>
          <w:szCs w:val="22"/>
          <w:lang w:eastAsia="fr-FR"/>
        </w:rPr>
        <w:t xml:space="preserve"> </w:t>
      </w:r>
      <w:bookmarkEnd w:id="1"/>
      <w:r w:rsidR="00C0553E">
        <w:rPr>
          <w:sz w:val="22"/>
          <w:szCs w:val="22"/>
          <w:lang w:eastAsia="fr-FR"/>
        </w:rPr>
        <w:t>in early 2019</w:t>
      </w:r>
      <w:r w:rsidR="00DB7179" w:rsidRPr="00C0553E">
        <w:rPr>
          <w:sz w:val="22"/>
          <w:szCs w:val="22"/>
          <w:lang w:eastAsia="fr-FR"/>
        </w:rPr>
        <w:t>.</w:t>
      </w:r>
    </w:p>
    <w:p w14:paraId="5AAE7E58" w14:textId="17F6C876" w:rsidR="00E13EE1" w:rsidRDefault="00E13EE1" w:rsidP="00770065">
      <w:pPr>
        <w:spacing w:line="260" w:lineRule="atLeast"/>
        <w:jc w:val="both"/>
        <w:rPr>
          <w:sz w:val="22"/>
          <w:szCs w:val="22"/>
          <w:lang w:eastAsia="fr-FR"/>
        </w:rPr>
      </w:pPr>
    </w:p>
    <w:p w14:paraId="7331CC5C" w14:textId="71751A26" w:rsidR="0037100A" w:rsidRPr="00F74D7F" w:rsidRDefault="00DB7179" w:rsidP="00F74D7F">
      <w:pPr>
        <w:spacing w:line="260" w:lineRule="atLeast"/>
        <w:jc w:val="both"/>
        <w:rPr>
          <w:sz w:val="22"/>
          <w:szCs w:val="22"/>
          <w:lang w:eastAsia="fr-FR"/>
        </w:rPr>
      </w:pPr>
      <w:r w:rsidRPr="006301AE">
        <w:rPr>
          <w:noProof/>
          <w:lang w:val="nl-BE" w:eastAsia="nl-BE"/>
        </w:rPr>
        <w:drawing>
          <wp:anchor distT="0" distB="0" distL="114300" distR="114300" simplePos="0" relativeHeight="251781120" behindDoc="0" locked="0" layoutInCell="1" allowOverlap="1" wp14:anchorId="3AC7ED00" wp14:editId="3479285B">
            <wp:simplePos x="0" y="0"/>
            <wp:positionH relativeFrom="margin">
              <wp:align>right</wp:align>
            </wp:positionH>
            <wp:positionV relativeFrom="paragraph">
              <wp:posOffset>14605</wp:posOffset>
            </wp:positionV>
            <wp:extent cx="6263640" cy="5874385"/>
            <wp:effectExtent l="0" t="0" r="381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3640" cy="5874385"/>
                    </a:xfrm>
                    <a:prstGeom prst="rect">
                      <a:avLst/>
                    </a:prstGeom>
                    <a:noFill/>
                    <a:ln>
                      <a:noFill/>
                    </a:ln>
                  </pic:spPr>
                </pic:pic>
              </a:graphicData>
            </a:graphic>
          </wp:anchor>
        </w:drawing>
      </w:r>
    </w:p>
    <w:p w14:paraId="5879DE35" w14:textId="4510420E" w:rsidR="008A4F4B" w:rsidRPr="001B65E9" w:rsidRDefault="0027129D" w:rsidP="008A4F4B">
      <w:pPr>
        <w:pStyle w:val="Footer"/>
        <w:jc w:val="center"/>
        <w:outlineLvl w:val="0"/>
        <w:rPr>
          <w:b/>
          <w:bCs/>
          <w:iCs/>
          <w:sz w:val="28"/>
          <w:szCs w:val="28"/>
          <w:lang w:val="en-US"/>
          <w14:shadow w14:blurRad="50800" w14:dist="38100" w14:dir="2700000" w14:sx="100000" w14:sy="100000" w14:kx="0" w14:ky="0" w14:algn="tl">
            <w14:srgbClr w14:val="000000">
              <w14:alpha w14:val="60000"/>
            </w14:srgbClr>
          </w14:shadow>
        </w:rPr>
      </w:pPr>
      <w:bookmarkStart w:id="2" w:name="_GoBack"/>
      <w:bookmarkEnd w:id="2"/>
      <w:r w:rsidRPr="001B65E9">
        <w:rPr>
          <w:b/>
          <w:bCs/>
          <w:sz w:val="28"/>
          <w:szCs w:val="28"/>
          <w:lang w:val="en-US"/>
          <w14:shadow w14:blurRad="50800" w14:dist="38100" w14:dir="2700000" w14:sx="100000" w14:sy="100000" w14:kx="0" w14:ky="0" w14:algn="tl">
            <w14:srgbClr w14:val="000000">
              <w14:alpha w14:val="60000"/>
            </w14:srgbClr>
          </w14:shadow>
        </w:rPr>
        <w:br w:type="page"/>
      </w:r>
      <w:r w:rsidR="008A4F4B" w:rsidRPr="001B65E9">
        <w:rPr>
          <w:b/>
          <w:bCs/>
          <w:iCs/>
          <w:sz w:val="28"/>
          <w:szCs w:val="28"/>
          <w:lang w:val="en-US"/>
          <w14:shadow w14:blurRad="50800" w14:dist="38100" w14:dir="2700000" w14:sx="100000" w14:sy="100000" w14:kx="0" w14:ky="0" w14:algn="tl">
            <w14:srgbClr w14:val="000000">
              <w14:alpha w14:val="60000"/>
            </w14:srgbClr>
          </w14:shadow>
        </w:rPr>
        <w:lastRenderedPageBreak/>
        <w:t>Tr</w:t>
      </w:r>
      <w:r w:rsidR="00E0179D" w:rsidRPr="001B65E9">
        <w:rPr>
          <w:b/>
          <w:bCs/>
          <w:iCs/>
          <w:sz w:val="28"/>
          <w:szCs w:val="28"/>
          <w:lang w:val="en-US"/>
          <w14:shadow w14:blurRad="50800" w14:dist="38100" w14:dir="2700000" w14:sx="100000" w14:sy="100000" w14:kx="0" w14:ky="0" w14:algn="tl">
            <w14:srgbClr w14:val="000000">
              <w14:alpha w14:val="60000"/>
            </w14:srgbClr>
          </w14:shadow>
        </w:rPr>
        <w:t xml:space="preserve">ends in </w:t>
      </w:r>
      <w:r w:rsidR="00805FBB" w:rsidRPr="001B65E9">
        <w:rPr>
          <w:b/>
          <w:bCs/>
          <w:iCs/>
          <w:sz w:val="28"/>
          <w:szCs w:val="28"/>
          <w:lang w:val="en-US"/>
          <w14:shadow w14:blurRad="50800" w14:dist="38100" w14:dir="2700000" w14:sx="100000" w14:sy="100000" w14:kx="0" w14:ky="0" w14:algn="tl">
            <w14:srgbClr w14:val="000000">
              <w14:alpha w14:val="60000"/>
            </w14:srgbClr>
          </w14:shadow>
        </w:rPr>
        <w:t>the UCITS Market</w:t>
      </w:r>
    </w:p>
    <w:p w14:paraId="564E6999" w14:textId="0441C582" w:rsidR="008A4F4B" w:rsidRDefault="008A4F4B" w:rsidP="008A4F4B">
      <w:pPr>
        <w:pStyle w:val="Footer"/>
        <w:jc w:val="center"/>
        <w:rPr>
          <w:b/>
          <w:bCs/>
          <w:i/>
          <w:iCs/>
          <w:sz w:val="16"/>
          <w:szCs w:val="16"/>
          <w:lang w:val="en-US"/>
        </w:rPr>
      </w:pPr>
      <w:r w:rsidRPr="001B65E9">
        <w:rPr>
          <w:b/>
          <w:bCs/>
          <w:i/>
          <w:iCs/>
          <w:sz w:val="28"/>
          <w:szCs w:val="28"/>
          <w:lang w:val="en-US"/>
          <w14:shadow w14:blurRad="50800" w14:dist="38100" w14:dir="2700000" w14:sx="100000" w14:sy="100000" w14:kx="0" w14:ky="0" w14:algn="tl">
            <w14:srgbClr w14:val="000000">
              <w14:alpha w14:val="60000"/>
            </w14:srgbClr>
          </w14:shadow>
        </w:rPr>
        <w:t xml:space="preserve">Net Sales </w:t>
      </w:r>
      <w:r w:rsidR="00E0179D" w:rsidRPr="001B65E9">
        <w:rPr>
          <w:b/>
          <w:bCs/>
          <w:i/>
          <w:iCs/>
          <w:sz w:val="28"/>
          <w:szCs w:val="28"/>
          <w:lang w:val="en-US"/>
          <w14:shadow w14:blurRad="50800" w14:dist="38100" w14:dir="2700000" w14:sx="100000" w14:sy="100000" w14:kx="0" w14:ky="0" w14:algn="tl">
            <w14:srgbClr w14:val="000000">
              <w14:alpha w14:val="60000"/>
            </w14:srgbClr>
          </w14:shadow>
        </w:rPr>
        <w:t>and Net Assets</w:t>
      </w:r>
      <w:r w:rsidR="00805FBB" w:rsidRPr="001B65E9">
        <w:rPr>
          <w:b/>
          <w:bCs/>
          <w:i/>
          <w:iCs/>
          <w:sz w:val="28"/>
          <w:szCs w:val="28"/>
          <w:lang w:val="en-US"/>
          <w14:shadow w14:blurRad="50800" w14:dist="38100" w14:dir="2700000" w14:sx="100000" w14:sy="100000" w14:kx="0" w14:ky="0" w14:algn="tl">
            <w14:srgbClr w14:val="000000">
              <w14:alpha w14:val="60000"/>
            </w14:srgbClr>
          </w14:shadow>
        </w:rPr>
        <w:t xml:space="preserve"> of ETF</w:t>
      </w:r>
      <w:r w:rsidR="00E0179D" w:rsidRPr="001B65E9">
        <w:rPr>
          <w:b/>
          <w:bCs/>
          <w:i/>
          <w:iCs/>
          <w:sz w:val="28"/>
          <w:szCs w:val="28"/>
          <w:lang w:val="en-US"/>
          <w14:shadow w14:blurRad="50800" w14:dist="38100" w14:dir="2700000" w14:sx="100000" w14:sy="100000" w14:kx="0" w14:ky="0" w14:algn="tl">
            <w14:srgbClr w14:val="000000">
              <w14:alpha w14:val="60000"/>
            </w14:srgbClr>
          </w14:shadow>
        </w:rPr>
        <w:t xml:space="preserve"> </w:t>
      </w:r>
      <w:r w:rsidRPr="001B65E9">
        <w:rPr>
          <w:b/>
          <w:bCs/>
          <w:i/>
          <w:iCs/>
          <w:sz w:val="28"/>
          <w:szCs w:val="28"/>
          <w:lang w:val="en-US"/>
          <w14:shadow w14:blurRad="50800" w14:dist="38100" w14:dir="2700000" w14:sx="100000" w14:sy="100000" w14:kx="0" w14:ky="0" w14:algn="tl">
            <w14:srgbClr w14:val="000000">
              <w14:alpha w14:val="60000"/>
            </w14:srgbClr>
          </w14:shadow>
        </w:rPr>
        <w:t xml:space="preserve">by Country of Domiciliation </w:t>
      </w:r>
    </w:p>
    <w:p w14:paraId="19360453" w14:textId="5890126F" w:rsidR="008A4F4B" w:rsidRDefault="008A4F4B" w:rsidP="008A4F4B">
      <w:pPr>
        <w:spacing w:line="260" w:lineRule="atLeast"/>
        <w:jc w:val="both"/>
        <w:rPr>
          <w:b/>
          <w:color w:val="0000FF"/>
          <w:sz w:val="22"/>
          <w:szCs w:val="22"/>
          <w:lang w:eastAsia="fr-FR"/>
        </w:rPr>
      </w:pPr>
    </w:p>
    <w:p w14:paraId="4850B3A7" w14:textId="6D9500E1" w:rsidR="008A4F4B" w:rsidRDefault="009A088F" w:rsidP="008A4F4B">
      <w:pPr>
        <w:spacing w:line="260" w:lineRule="atLeast"/>
        <w:jc w:val="both"/>
        <w:rPr>
          <w:b/>
          <w:color w:val="0000FF"/>
          <w:sz w:val="22"/>
          <w:szCs w:val="22"/>
          <w:lang w:eastAsia="fr-FR"/>
        </w:rPr>
      </w:pPr>
      <w:r>
        <w:rPr>
          <w:b/>
          <w:color w:val="0000FF"/>
          <w:sz w:val="22"/>
          <w:szCs w:val="22"/>
          <w:lang w:eastAsia="fr-FR"/>
        </w:rPr>
        <w:t>Net sales of UCITS ETF</w:t>
      </w:r>
      <w:r w:rsidR="007176CC">
        <w:rPr>
          <w:b/>
          <w:color w:val="0000FF"/>
          <w:sz w:val="22"/>
          <w:szCs w:val="22"/>
          <w:lang w:eastAsia="fr-FR"/>
        </w:rPr>
        <w:t>s</w:t>
      </w:r>
      <w:r>
        <w:rPr>
          <w:b/>
          <w:color w:val="0000FF"/>
          <w:sz w:val="22"/>
          <w:szCs w:val="22"/>
          <w:lang w:eastAsia="fr-FR"/>
        </w:rPr>
        <w:t xml:space="preserve"> reached EUR </w:t>
      </w:r>
      <w:r w:rsidR="004971B0">
        <w:rPr>
          <w:b/>
          <w:color w:val="0000FF"/>
          <w:sz w:val="22"/>
          <w:szCs w:val="22"/>
          <w:lang w:eastAsia="fr-FR"/>
        </w:rPr>
        <w:t>2</w:t>
      </w:r>
      <w:r w:rsidR="00B76D83">
        <w:rPr>
          <w:b/>
          <w:color w:val="0000FF"/>
          <w:sz w:val="22"/>
          <w:szCs w:val="22"/>
          <w:lang w:eastAsia="fr-FR"/>
        </w:rPr>
        <w:t>6</w:t>
      </w:r>
      <w:r w:rsidR="0056452B">
        <w:rPr>
          <w:b/>
          <w:color w:val="0000FF"/>
          <w:sz w:val="22"/>
          <w:szCs w:val="22"/>
          <w:lang w:eastAsia="fr-FR"/>
        </w:rPr>
        <w:t xml:space="preserve"> </w:t>
      </w:r>
      <w:r w:rsidR="00DE0AC1">
        <w:rPr>
          <w:b/>
          <w:color w:val="0000FF"/>
          <w:sz w:val="22"/>
          <w:szCs w:val="22"/>
          <w:lang w:eastAsia="fr-FR"/>
        </w:rPr>
        <w:t xml:space="preserve">billion in </w:t>
      </w:r>
      <w:r w:rsidR="00E07E5E">
        <w:rPr>
          <w:b/>
          <w:color w:val="0000FF"/>
          <w:sz w:val="22"/>
          <w:szCs w:val="22"/>
          <w:lang w:eastAsia="fr-FR"/>
        </w:rPr>
        <w:t>Q1 201</w:t>
      </w:r>
      <w:r w:rsidR="00B76D83">
        <w:rPr>
          <w:b/>
          <w:color w:val="0000FF"/>
          <w:sz w:val="22"/>
          <w:szCs w:val="22"/>
          <w:lang w:eastAsia="fr-FR"/>
        </w:rPr>
        <w:t>9</w:t>
      </w:r>
      <w:r w:rsidR="00DE0AC1">
        <w:rPr>
          <w:b/>
          <w:color w:val="0000FF"/>
          <w:sz w:val="22"/>
          <w:szCs w:val="22"/>
          <w:lang w:eastAsia="fr-FR"/>
        </w:rPr>
        <w:t xml:space="preserve">, </w:t>
      </w:r>
      <w:r w:rsidR="008D4DC8">
        <w:rPr>
          <w:b/>
          <w:color w:val="0000FF"/>
          <w:sz w:val="22"/>
          <w:szCs w:val="22"/>
          <w:lang w:eastAsia="fr-FR"/>
        </w:rPr>
        <w:t>up from</w:t>
      </w:r>
      <w:r w:rsidR="00DE0AC1">
        <w:rPr>
          <w:b/>
          <w:color w:val="0000FF"/>
          <w:sz w:val="22"/>
          <w:szCs w:val="22"/>
          <w:lang w:eastAsia="fr-FR"/>
        </w:rPr>
        <w:t xml:space="preserve"> EUR </w:t>
      </w:r>
      <w:r w:rsidR="007176CC">
        <w:rPr>
          <w:b/>
          <w:color w:val="0000FF"/>
          <w:sz w:val="22"/>
          <w:szCs w:val="22"/>
          <w:lang w:eastAsia="fr-FR"/>
        </w:rPr>
        <w:t>3</w:t>
      </w:r>
      <w:r w:rsidR="004971B0">
        <w:rPr>
          <w:b/>
          <w:color w:val="0000FF"/>
          <w:sz w:val="22"/>
          <w:szCs w:val="22"/>
          <w:lang w:eastAsia="fr-FR"/>
        </w:rPr>
        <w:t xml:space="preserve"> </w:t>
      </w:r>
      <w:r w:rsidR="00DE0AC1">
        <w:rPr>
          <w:b/>
          <w:color w:val="0000FF"/>
          <w:sz w:val="22"/>
          <w:szCs w:val="22"/>
          <w:lang w:eastAsia="fr-FR"/>
        </w:rPr>
        <w:t xml:space="preserve">billion in </w:t>
      </w:r>
      <w:r w:rsidR="0056452B">
        <w:rPr>
          <w:b/>
          <w:color w:val="0000FF"/>
          <w:sz w:val="22"/>
          <w:szCs w:val="22"/>
          <w:lang w:eastAsia="fr-FR"/>
        </w:rPr>
        <w:t xml:space="preserve">Q4 </w:t>
      </w:r>
      <w:r w:rsidR="00E07E5E">
        <w:rPr>
          <w:b/>
          <w:color w:val="0000FF"/>
          <w:sz w:val="22"/>
          <w:szCs w:val="22"/>
          <w:lang w:eastAsia="fr-FR"/>
        </w:rPr>
        <w:t>201</w:t>
      </w:r>
      <w:r w:rsidR="00B76D83">
        <w:rPr>
          <w:b/>
          <w:color w:val="0000FF"/>
          <w:sz w:val="22"/>
          <w:szCs w:val="22"/>
          <w:lang w:eastAsia="fr-FR"/>
        </w:rPr>
        <w:t>8</w:t>
      </w:r>
      <w:r w:rsidR="00DE0AC1">
        <w:rPr>
          <w:b/>
          <w:color w:val="0000FF"/>
          <w:sz w:val="22"/>
          <w:szCs w:val="22"/>
          <w:lang w:eastAsia="fr-FR"/>
        </w:rPr>
        <w:t>.</w:t>
      </w:r>
      <w:r w:rsidR="007B1BDC">
        <w:rPr>
          <w:b/>
          <w:color w:val="0000FF"/>
          <w:sz w:val="22"/>
          <w:szCs w:val="22"/>
          <w:lang w:eastAsia="fr-FR"/>
        </w:rPr>
        <w:t xml:space="preserve"> </w:t>
      </w:r>
    </w:p>
    <w:p w14:paraId="5B08DCCA" w14:textId="7D87F28B" w:rsidR="008A4F4B" w:rsidRDefault="008A4F4B" w:rsidP="008A4F4B">
      <w:pPr>
        <w:spacing w:line="260" w:lineRule="atLeast"/>
        <w:jc w:val="both"/>
        <w:rPr>
          <w:b/>
          <w:color w:val="0000FF"/>
          <w:sz w:val="22"/>
          <w:szCs w:val="22"/>
          <w:lang w:eastAsia="fr-FR"/>
        </w:rPr>
      </w:pPr>
    </w:p>
    <w:p w14:paraId="7E0B2A63" w14:textId="2E7F037C" w:rsidR="00B32A53" w:rsidRDefault="007B1BDC" w:rsidP="00816BD4">
      <w:pPr>
        <w:spacing w:line="260" w:lineRule="atLeast"/>
        <w:jc w:val="both"/>
        <w:rPr>
          <w:sz w:val="22"/>
          <w:szCs w:val="22"/>
          <w:lang w:eastAsia="fr-FR"/>
        </w:rPr>
      </w:pPr>
      <w:r>
        <w:rPr>
          <w:sz w:val="22"/>
          <w:szCs w:val="22"/>
          <w:lang w:eastAsia="fr-FR"/>
        </w:rPr>
        <w:t xml:space="preserve">Of the large UCITS ETF domiciles, </w:t>
      </w:r>
      <w:r w:rsidR="00E579E7" w:rsidRPr="00C53DD8">
        <w:rPr>
          <w:sz w:val="22"/>
          <w:szCs w:val="22"/>
          <w:lang w:eastAsia="fr-FR"/>
        </w:rPr>
        <w:t xml:space="preserve">Ireland </w:t>
      </w:r>
      <w:r w:rsidR="00E579E7">
        <w:rPr>
          <w:sz w:val="22"/>
          <w:szCs w:val="22"/>
          <w:lang w:eastAsia="fr-FR"/>
        </w:rPr>
        <w:t>registered the largest inflows (EUR 25.7 billion)</w:t>
      </w:r>
      <w:r w:rsidR="007176CC">
        <w:rPr>
          <w:sz w:val="22"/>
          <w:szCs w:val="22"/>
          <w:lang w:eastAsia="fr-FR"/>
        </w:rPr>
        <w:t xml:space="preserve"> </w:t>
      </w:r>
      <w:r w:rsidR="00744D99">
        <w:rPr>
          <w:sz w:val="22"/>
          <w:szCs w:val="22"/>
          <w:lang w:eastAsia="fr-FR"/>
        </w:rPr>
        <w:t xml:space="preserve">followed by </w:t>
      </w:r>
      <w:r w:rsidR="000B25BE">
        <w:rPr>
          <w:sz w:val="22"/>
          <w:szCs w:val="22"/>
          <w:lang w:eastAsia="fr-FR"/>
        </w:rPr>
        <w:t xml:space="preserve">Luxembourg </w:t>
      </w:r>
      <w:r w:rsidR="00744D99">
        <w:rPr>
          <w:sz w:val="22"/>
          <w:szCs w:val="22"/>
          <w:lang w:eastAsia="fr-FR"/>
        </w:rPr>
        <w:t>(</w:t>
      </w:r>
      <w:r w:rsidR="008D4DC8">
        <w:rPr>
          <w:sz w:val="22"/>
          <w:szCs w:val="22"/>
          <w:lang w:eastAsia="fr-FR"/>
        </w:rPr>
        <w:t xml:space="preserve">EUR </w:t>
      </w:r>
      <w:r w:rsidR="00E579E7">
        <w:rPr>
          <w:sz w:val="22"/>
          <w:szCs w:val="22"/>
          <w:lang w:eastAsia="fr-FR"/>
        </w:rPr>
        <w:t>10.3</w:t>
      </w:r>
      <w:r w:rsidR="00C53DD8" w:rsidRPr="00C53DD8">
        <w:rPr>
          <w:sz w:val="22"/>
          <w:szCs w:val="22"/>
          <w:lang w:eastAsia="fr-FR"/>
        </w:rPr>
        <w:t xml:space="preserve"> billion</w:t>
      </w:r>
      <w:r w:rsidR="00744D99">
        <w:rPr>
          <w:sz w:val="22"/>
          <w:szCs w:val="22"/>
          <w:lang w:eastAsia="fr-FR"/>
        </w:rPr>
        <w:t>)</w:t>
      </w:r>
      <w:r w:rsidR="008D4DC8">
        <w:rPr>
          <w:sz w:val="22"/>
          <w:szCs w:val="22"/>
          <w:lang w:eastAsia="fr-FR"/>
        </w:rPr>
        <w:t xml:space="preserve">. </w:t>
      </w:r>
      <w:r w:rsidR="000B25BE">
        <w:rPr>
          <w:sz w:val="22"/>
          <w:szCs w:val="22"/>
          <w:lang w:eastAsia="fr-FR"/>
        </w:rPr>
        <w:t>France</w:t>
      </w:r>
      <w:r w:rsidR="009907AE">
        <w:rPr>
          <w:sz w:val="22"/>
          <w:szCs w:val="22"/>
          <w:lang w:eastAsia="fr-FR"/>
        </w:rPr>
        <w:t>,</w:t>
      </w:r>
      <w:r w:rsidR="000B25BE">
        <w:rPr>
          <w:sz w:val="22"/>
          <w:szCs w:val="22"/>
          <w:lang w:eastAsia="fr-FR"/>
        </w:rPr>
        <w:t xml:space="preserve"> </w:t>
      </w:r>
      <w:r>
        <w:rPr>
          <w:sz w:val="22"/>
          <w:szCs w:val="22"/>
          <w:lang w:eastAsia="fr-FR"/>
        </w:rPr>
        <w:t>on the other hand</w:t>
      </w:r>
      <w:r w:rsidR="00453FC1">
        <w:rPr>
          <w:sz w:val="22"/>
          <w:szCs w:val="22"/>
          <w:lang w:eastAsia="fr-FR"/>
        </w:rPr>
        <w:t>,</w:t>
      </w:r>
      <w:r>
        <w:rPr>
          <w:sz w:val="22"/>
          <w:szCs w:val="22"/>
          <w:lang w:eastAsia="fr-FR"/>
        </w:rPr>
        <w:t xml:space="preserve"> recorded net outflows </w:t>
      </w:r>
      <w:r w:rsidR="00453FC1">
        <w:rPr>
          <w:sz w:val="22"/>
          <w:szCs w:val="22"/>
          <w:lang w:eastAsia="fr-FR"/>
        </w:rPr>
        <w:t xml:space="preserve">of </w:t>
      </w:r>
      <w:r>
        <w:rPr>
          <w:sz w:val="22"/>
          <w:szCs w:val="22"/>
          <w:lang w:eastAsia="fr-FR"/>
        </w:rPr>
        <w:t xml:space="preserve">EUR </w:t>
      </w:r>
      <w:r w:rsidR="00E579E7">
        <w:rPr>
          <w:sz w:val="22"/>
          <w:szCs w:val="22"/>
          <w:lang w:eastAsia="fr-FR"/>
        </w:rPr>
        <w:t>7.1</w:t>
      </w:r>
      <w:r>
        <w:rPr>
          <w:sz w:val="22"/>
          <w:szCs w:val="22"/>
          <w:lang w:eastAsia="fr-FR"/>
        </w:rPr>
        <w:t xml:space="preserve"> billion.</w:t>
      </w:r>
    </w:p>
    <w:p w14:paraId="0D662595" w14:textId="5E87A004" w:rsidR="00C53DD8" w:rsidRDefault="00C53DD8" w:rsidP="00816BD4">
      <w:pPr>
        <w:spacing w:line="260" w:lineRule="atLeast"/>
        <w:jc w:val="both"/>
        <w:rPr>
          <w:sz w:val="22"/>
          <w:szCs w:val="22"/>
          <w:lang w:eastAsia="fr-FR"/>
        </w:rPr>
      </w:pPr>
    </w:p>
    <w:p w14:paraId="22BC844C" w14:textId="3ACC00F7" w:rsidR="00C53DD8" w:rsidRDefault="00C53DD8" w:rsidP="00816BD4">
      <w:pPr>
        <w:spacing w:line="260" w:lineRule="atLeast"/>
        <w:jc w:val="both"/>
        <w:rPr>
          <w:sz w:val="22"/>
          <w:szCs w:val="22"/>
          <w:lang w:eastAsia="fr-FR"/>
        </w:rPr>
      </w:pPr>
    </w:p>
    <w:p w14:paraId="352C0FCE" w14:textId="6EB8F12E" w:rsidR="00D168DE" w:rsidRPr="00C53DD8" w:rsidRDefault="006301AE" w:rsidP="00C53DD8">
      <w:pPr>
        <w:spacing w:line="260" w:lineRule="atLeast"/>
        <w:jc w:val="both"/>
        <w:rPr>
          <w:sz w:val="22"/>
          <w:szCs w:val="22"/>
          <w:lang w:eastAsia="fr-FR"/>
        </w:rPr>
      </w:pPr>
      <w:r w:rsidRPr="006301AE">
        <w:rPr>
          <w:noProof/>
          <w:lang w:val="nl-BE" w:eastAsia="nl-BE"/>
        </w:rPr>
        <w:drawing>
          <wp:anchor distT="0" distB="0" distL="114300" distR="114300" simplePos="0" relativeHeight="251782144" behindDoc="0" locked="0" layoutInCell="1" allowOverlap="1" wp14:anchorId="18F1A49F" wp14:editId="28F762B6">
            <wp:simplePos x="0" y="0"/>
            <wp:positionH relativeFrom="margin">
              <wp:align>center</wp:align>
            </wp:positionH>
            <wp:positionV relativeFrom="paragraph">
              <wp:posOffset>5715</wp:posOffset>
            </wp:positionV>
            <wp:extent cx="4644402" cy="3531600"/>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4402" cy="3531600"/>
                    </a:xfrm>
                    <a:prstGeom prst="rect">
                      <a:avLst/>
                    </a:prstGeom>
                    <a:noFill/>
                    <a:ln>
                      <a:noFill/>
                    </a:ln>
                  </pic:spPr>
                </pic:pic>
              </a:graphicData>
            </a:graphic>
          </wp:anchor>
        </w:drawing>
      </w:r>
    </w:p>
    <w:p w14:paraId="76673483" w14:textId="60A5C08B" w:rsidR="00D168DE" w:rsidRPr="00D168DE" w:rsidRDefault="00D168DE" w:rsidP="00D168DE"/>
    <w:p w14:paraId="70568E42" w14:textId="6255CE25" w:rsidR="00D168DE" w:rsidRPr="00D168DE" w:rsidRDefault="00D168DE" w:rsidP="00D168DE"/>
    <w:p w14:paraId="439C5FCE" w14:textId="6277E58B" w:rsidR="00D168DE" w:rsidRPr="00D168DE" w:rsidRDefault="00D168DE" w:rsidP="00D168DE"/>
    <w:p w14:paraId="611435FB" w14:textId="6E207C9F" w:rsidR="00D168DE" w:rsidRPr="00D168DE" w:rsidRDefault="00D168DE" w:rsidP="00D168DE"/>
    <w:p w14:paraId="5F67B759" w14:textId="1986950A" w:rsidR="00D168DE" w:rsidRPr="00D168DE" w:rsidRDefault="00D168DE" w:rsidP="00D168DE"/>
    <w:p w14:paraId="28F1B104" w14:textId="41E41B54" w:rsidR="00D168DE" w:rsidRPr="00D168DE" w:rsidRDefault="00D168DE" w:rsidP="00D168DE"/>
    <w:p w14:paraId="5B20BE91" w14:textId="77777777" w:rsidR="00D168DE" w:rsidRPr="00D168DE" w:rsidRDefault="00D168DE" w:rsidP="00D168DE"/>
    <w:p w14:paraId="123BB1E5" w14:textId="77777777" w:rsidR="00D168DE" w:rsidRPr="00D168DE" w:rsidRDefault="00D168DE" w:rsidP="00D168DE"/>
    <w:p w14:paraId="17246347" w14:textId="37B6EB8D" w:rsidR="00D168DE" w:rsidRPr="00D168DE" w:rsidRDefault="00D168DE" w:rsidP="00D168DE"/>
    <w:p w14:paraId="6A016066" w14:textId="77777777" w:rsidR="00D168DE" w:rsidRPr="00D168DE" w:rsidRDefault="00D168DE" w:rsidP="00D168DE"/>
    <w:p w14:paraId="51DC1F71" w14:textId="7B9FE937" w:rsidR="00D168DE" w:rsidRPr="00D168DE" w:rsidRDefault="00D168DE" w:rsidP="00D168DE"/>
    <w:p w14:paraId="04AF0B98" w14:textId="54E00DC3" w:rsidR="00D168DE" w:rsidRPr="00D168DE" w:rsidRDefault="00D168DE" w:rsidP="00D168DE"/>
    <w:p w14:paraId="4A5C7C04" w14:textId="0AC5973B" w:rsidR="00D168DE" w:rsidRPr="00D168DE" w:rsidRDefault="00D168DE" w:rsidP="00D168DE"/>
    <w:p w14:paraId="590E8F53" w14:textId="07EBC155" w:rsidR="00D168DE" w:rsidRPr="00D168DE" w:rsidRDefault="00D168DE" w:rsidP="00D168DE"/>
    <w:p w14:paraId="1E9D563F" w14:textId="3328EDAE" w:rsidR="00D168DE" w:rsidRPr="00D168DE" w:rsidRDefault="00D168DE" w:rsidP="00D168DE"/>
    <w:p w14:paraId="1502625E" w14:textId="273F888C" w:rsidR="00D168DE" w:rsidRDefault="00D168DE" w:rsidP="008A4F4B">
      <w:pPr>
        <w:pStyle w:val="Footer"/>
        <w:tabs>
          <w:tab w:val="left" w:pos="720"/>
          <w:tab w:val="left" w:pos="3960"/>
          <w:tab w:val="left" w:pos="4320"/>
        </w:tabs>
        <w:spacing w:line="260" w:lineRule="exact"/>
        <w:jc w:val="center"/>
        <w:outlineLvl w:val="0"/>
      </w:pPr>
    </w:p>
    <w:p w14:paraId="17845B76" w14:textId="6C1BE4B8" w:rsidR="00D168DE" w:rsidRDefault="00D168DE" w:rsidP="008A4F4B">
      <w:pPr>
        <w:pStyle w:val="Footer"/>
        <w:tabs>
          <w:tab w:val="left" w:pos="720"/>
          <w:tab w:val="left" w:pos="3960"/>
          <w:tab w:val="left" w:pos="4320"/>
        </w:tabs>
        <w:spacing w:line="260" w:lineRule="exact"/>
        <w:jc w:val="center"/>
        <w:outlineLvl w:val="0"/>
      </w:pPr>
    </w:p>
    <w:p w14:paraId="4BB570E5" w14:textId="221FA89E" w:rsidR="00D168DE" w:rsidRDefault="00D168DE" w:rsidP="00D168DE">
      <w:pPr>
        <w:pStyle w:val="Footer"/>
        <w:tabs>
          <w:tab w:val="clear" w:pos="4320"/>
          <w:tab w:val="clear" w:pos="8640"/>
          <w:tab w:val="left" w:pos="720"/>
          <w:tab w:val="left" w:pos="9120"/>
        </w:tabs>
        <w:spacing w:line="260" w:lineRule="exact"/>
        <w:outlineLvl w:val="0"/>
      </w:pPr>
      <w:r>
        <w:tab/>
      </w:r>
      <w:r>
        <w:tab/>
      </w:r>
    </w:p>
    <w:p w14:paraId="7127B798" w14:textId="33395780" w:rsidR="00970114" w:rsidRDefault="00970114" w:rsidP="008A4F4B">
      <w:pPr>
        <w:pStyle w:val="Footer"/>
        <w:tabs>
          <w:tab w:val="left" w:pos="720"/>
          <w:tab w:val="left" w:pos="3960"/>
          <w:tab w:val="left" w:pos="4320"/>
        </w:tabs>
        <w:spacing w:line="260" w:lineRule="exact"/>
        <w:jc w:val="center"/>
        <w:outlineLvl w:val="0"/>
        <w:rPr>
          <w:noProof/>
          <w:lang w:val="nl-BE" w:eastAsia="nl-BE"/>
        </w:rPr>
      </w:pPr>
      <w:r>
        <w:rPr>
          <w:noProof/>
          <w:lang w:val="nl-BE" w:eastAsia="nl-BE"/>
        </w:rPr>
        <w:drawing>
          <wp:inline distT="0" distB="0" distL="0" distR="0" wp14:anchorId="15663883" wp14:editId="39DEA716">
            <wp:extent cx="9187180" cy="559054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87180" cy="5590540"/>
                    </a:xfrm>
                    <a:prstGeom prst="rect">
                      <a:avLst/>
                    </a:prstGeom>
                    <a:noFill/>
                  </pic:spPr>
                </pic:pic>
              </a:graphicData>
            </a:graphic>
          </wp:inline>
        </w:drawing>
      </w:r>
    </w:p>
    <w:p w14:paraId="75864DE1" w14:textId="562AE0E9" w:rsidR="00970114" w:rsidRPr="00970114" w:rsidRDefault="00970114" w:rsidP="00970114">
      <w:pPr>
        <w:rPr>
          <w:lang w:val="en-GB"/>
        </w:rPr>
      </w:pPr>
    </w:p>
    <w:p w14:paraId="48239BF4" w14:textId="64BB03CE" w:rsidR="00970114" w:rsidRPr="00970114" w:rsidRDefault="00970114" w:rsidP="00970114">
      <w:pPr>
        <w:rPr>
          <w:lang w:val="en-GB"/>
        </w:rPr>
      </w:pPr>
    </w:p>
    <w:p w14:paraId="64B98F46" w14:textId="5424C4EA" w:rsidR="00970114" w:rsidRPr="00970114" w:rsidRDefault="00970114" w:rsidP="00970114">
      <w:pPr>
        <w:rPr>
          <w:lang w:val="en-GB"/>
        </w:rPr>
      </w:pPr>
    </w:p>
    <w:p w14:paraId="3426AC89" w14:textId="131F91A1" w:rsidR="00970114" w:rsidRPr="00970114" w:rsidRDefault="00970114" w:rsidP="00970114">
      <w:pPr>
        <w:rPr>
          <w:lang w:val="en-GB"/>
        </w:rPr>
      </w:pPr>
      <w:r>
        <w:rPr>
          <w:noProof/>
          <w:lang w:val="nl-BE" w:eastAsia="nl-BE"/>
        </w:rPr>
        <w:drawing>
          <wp:anchor distT="0" distB="0" distL="114300" distR="114300" simplePos="0" relativeHeight="251783168" behindDoc="0" locked="0" layoutInCell="1" allowOverlap="1" wp14:anchorId="382515D7" wp14:editId="47F03297">
            <wp:simplePos x="0" y="0"/>
            <wp:positionH relativeFrom="margin">
              <wp:align>center</wp:align>
            </wp:positionH>
            <wp:positionV relativeFrom="paragraph">
              <wp:posOffset>150495</wp:posOffset>
            </wp:positionV>
            <wp:extent cx="4644000" cy="2825594"/>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44000" cy="2825594"/>
                    </a:xfrm>
                    <a:prstGeom prst="rect">
                      <a:avLst/>
                    </a:prstGeom>
                    <a:noFill/>
                  </pic:spPr>
                </pic:pic>
              </a:graphicData>
            </a:graphic>
            <wp14:sizeRelH relativeFrom="margin">
              <wp14:pctWidth>0</wp14:pctWidth>
            </wp14:sizeRelH>
            <wp14:sizeRelV relativeFrom="margin">
              <wp14:pctHeight>0</wp14:pctHeight>
            </wp14:sizeRelV>
          </wp:anchor>
        </w:drawing>
      </w:r>
    </w:p>
    <w:p w14:paraId="3A18487B" w14:textId="16C4B34F" w:rsidR="00970114" w:rsidRPr="00970114" w:rsidRDefault="00970114" w:rsidP="00970114">
      <w:pPr>
        <w:rPr>
          <w:lang w:val="en-GB"/>
        </w:rPr>
      </w:pPr>
    </w:p>
    <w:p w14:paraId="596718E1" w14:textId="4CE891A1" w:rsidR="00970114" w:rsidRPr="00970114" w:rsidRDefault="00970114" w:rsidP="00970114">
      <w:pPr>
        <w:rPr>
          <w:lang w:val="en-GB"/>
        </w:rPr>
      </w:pPr>
    </w:p>
    <w:p w14:paraId="1F177815" w14:textId="7DAF45AA" w:rsidR="00970114" w:rsidRPr="00970114" w:rsidRDefault="00970114" w:rsidP="00970114">
      <w:pPr>
        <w:rPr>
          <w:lang w:val="en-GB"/>
        </w:rPr>
      </w:pPr>
    </w:p>
    <w:p w14:paraId="0FDFC10B" w14:textId="3808424E" w:rsidR="00970114" w:rsidRDefault="00970114" w:rsidP="008A4F4B">
      <w:pPr>
        <w:pStyle w:val="Footer"/>
        <w:tabs>
          <w:tab w:val="left" w:pos="720"/>
          <w:tab w:val="left" w:pos="3960"/>
          <w:tab w:val="left" w:pos="4320"/>
        </w:tabs>
        <w:spacing w:line="260" w:lineRule="exact"/>
        <w:jc w:val="center"/>
        <w:outlineLvl w:val="0"/>
        <w:rPr>
          <w:noProof/>
          <w:lang w:val="nl-BE" w:eastAsia="nl-BE"/>
        </w:rPr>
      </w:pPr>
    </w:p>
    <w:p w14:paraId="388E67EE" w14:textId="236F788A" w:rsidR="00970114" w:rsidRDefault="00970114" w:rsidP="008A4F4B">
      <w:pPr>
        <w:pStyle w:val="Footer"/>
        <w:tabs>
          <w:tab w:val="left" w:pos="720"/>
          <w:tab w:val="left" w:pos="3960"/>
          <w:tab w:val="left" w:pos="4320"/>
        </w:tabs>
        <w:spacing w:line="260" w:lineRule="exact"/>
        <w:jc w:val="center"/>
        <w:outlineLvl w:val="0"/>
        <w:rPr>
          <w:noProof/>
          <w:lang w:val="nl-BE" w:eastAsia="nl-BE"/>
        </w:rPr>
      </w:pPr>
    </w:p>
    <w:p w14:paraId="11C5932D" w14:textId="3F05E57F" w:rsidR="00970114" w:rsidRDefault="00970114" w:rsidP="008A4F4B">
      <w:pPr>
        <w:pStyle w:val="Footer"/>
        <w:tabs>
          <w:tab w:val="left" w:pos="720"/>
          <w:tab w:val="left" w:pos="3960"/>
          <w:tab w:val="left" w:pos="4320"/>
        </w:tabs>
        <w:spacing w:line="260" w:lineRule="exact"/>
        <w:jc w:val="center"/>
        <w:outlineLvl w:val="0"/>
        <w:rPr>
          <w:noProof/>
          <w:lang w:val="nl-BE" w:eastAsia="nl-BE"/>
        </w:rPr>
      </w:pPr>
    </w:p>
    <w:p w14:paraId="0AB8CF6C" w14:textId="5E72F344" w:rsidR="00A80A41" w:rsidRPr="001B65E9" w:rsidRDefault="008A4F4B" w:rsidP="008A4F4B">
      <w:pPr>
        <w:pStyle w:val="Footer"/>
        <w:tabs>
          <w:tab w:val="left" w:pos="720"/>
          <w:tab w:val="left" w:pos="3960"/>
          <w:tab w:val="left" w:pos="4320"/>
        </w:tabs>
        <w:spacing w:line="260" w:lineRule="exact"/>
        <w:jc w:val="center"/>
        <w:outlineLvl w:val="0"/>
        <w:rPr>
          <w:b/>
          <w:bCs/>
          <w:sz w:val="28"/>
          <w:szCs w:val="28"/>
          <w:lang w:val="en-US"/>
          <w14:shadow w14:blurRad="50800" w14:dist="38100" w14:dir="2700000" w14:sx="100000" w14:sy="100000" w14:kx="0" w14:ky="0" w14:algn="tl">
            <w14:srgbClr w14:val="000000">
              <w14:alpha w14:val="60000"/>
            </w14:srgbClr>
          </w14:shadow>
        </w:rPr>
      </w:pPr>
      <w:r w:rsidRPr="00970114">
        <w:br w:type="page"/>
      </w:r>
      <w:r w:rsidR="00A80A41" w:rsidRPr="001B65E9">
        <w:rPr>
          <w:b/>
          <w:bCs/>
          <w:sz w:val="28"/>
          <w:szCs w:val="28"/>
          <w:lang w:val="en-US"/>
          <w14:shadow w14:blurRad="50800" w14:dist="38100" w14:dir="2700000" w14:sx="100000" w14:sy="100000" w14:kx="0" w14:ky="0" w14:algn="tl">
            <w14:srgbClr w14:val="000000">
              <w14:alpha w14:val="60000"/>
            </w14:srgbClr>
          </w14:shadow>
        </w:rPr>
        <w:lastRenderedPageBreak/>
        <w:t>Trends in the UCITS Market</w:t>
      </w:r>
    </w:p>
    <w:p w14:paraId="274C3551" w14:textId="77777777" w:rsidR="0091361F" w:rsidRPr="004C7355" w:rsidRDefault="0091361F" w:rsidP="0091361F">
      <w:pPr>
        <w:pStyle w:val="Footer"/>
        <w:jc w:val="center"/>
        <w:outlineLvl w:val="0"/>
        <w:rPr>
          <w:b/>
          <w:bCs/>
          <w:i/>
          <w:iCs/>
          <w:sz w:val="28"/>
          <w:szCs w:val="28"/>
          <w:lang w:val="en-US"/>
          <w14:shadow w14:blurRad="50800" w14:dist="38100" w14:dir="2700000" w14:sx="100000" w14:sy="100000" w14:kx="0" w14:ky="0" w14:algn="tl">
            <w14:srgbClr w14:val="000000">
              <w14:alpha w14:val="60000"/>
            </w14:srgbClr>
          </w14:shadow>
        </w:rPr>
      </w:pPr>
      <w:r w:rsidRPr="00FD75CC">
        <w:rPr>
          <w:b/>
          <w:bCs/>
          <w:i/>
          <w:iCs/>
          <w:sz w:val="28"/>
          <w:szCs w:val="28"/>
          <w:lang w:val="en-US"/>
          <w14:shadow w14:blurRad="50800" w14:dist="38100" w14:dir="2700000" w14:sx="100000" w14:sy="100000" w14:kx="0" w14:ky="0" w14:algn="tl">
            <w14:srgbClr w14:val="000000">
              <w14:alpha w14:val="60000"/>
            </w14:srgbClr>
          </w14:shadow>
        </w:rPr>
        <w:t>Net Assets</w:t>
      </w:r>
      <w:r>
        <w:rPr>
          <w:b/>
          <w:bCs/>
          <w:i/>
          <w:iCs/>
          <w:sz w:val="28"/>
          <w:szCs w:val="28"/>
          <w:lang w:val="en-US"/>
          <w14:shadow w14:blurRad="50800" w14:dist="38100" w14:dir="2700000" w14:sx="100000" w14:sy="100000" w14:kx="0" w14:ky="0" w14:algn="tl">
            <w14:srgbClr w14:val="000000">
              <w14:alpha w14:val="60000"/>
            </w14:srgbClr>
          </w14:shadow>
        </w:rPr>
        <w:t xml:space="preserve"> and Number of Funds</w:t>
      </w:r>
      <w:r w:rsidRPr="00FD75CC">
        <w:rPr>
          <w:b/>
          <w:bCs/>
          <w:i/>
          <w:iCs/>
          <w:sz w:val="28"/>
          <w:szCs w:val="28"/>
          <w:lang w:val="en-US"/>
          <w14:shadow w14:blurRad="50800" w14:dist="38100" w14:dir="2700000" w14:sx="100000" w14:sy="100000" w14:kx="0" w14:ky="0" w14:algn="tl">
            <w14:srgbClr w14:val="000000">
              <w14:alpha w14:val="60000"/>
            </w14:srgbClr>
          </w14:shadow>
        </w:rPr>
        <w:t xml:space="preserve"> by Investment Type</w:t>
      </w:r>
    </w:p>
    <w:p w14:paraId="0903511B" w14:textId="6222EE67" w:rsidR="00A80A41" w:rsidRDefault="00A80A41" w:rsidP="00A80A41">
      <w:pPr>
        <w:pStyle w:val="Footer"/>
        <w:tabs>
          <w:tab w:val="left" w:pos="720"/>
          <w:tab w:val="left" w:pos="4320"/>
        </w:tabs>
        <w:spacing w:line="260" w:lineRule="exact"/>
        <w:jc w:val="both"/>
        <w:rPr>
          <w:color w:val="000000"/>
          <w:sz w:val="22"/>
          <w:szCs w:val="22"/>
          <w:lang w:val="en-US"/>
        </w:rPr>
      </w:pPr>
    </w:p>
    <w:p w14:paraId="5F4B337A" w14:textId="5E8C824D" w:rsidR="001E7DA7" w:rsidRDefault="005F3159" w:rsidP="00F54A67">
      <w:pPr>
        <w:pStyle w:val="Footer"/>
        <w:tabs>
          <w:tab w:val="left" w:pos="720"/>
          <w:tab w:val="left" w:pos="4320"/>
        </w:tabs>
        <w:spacing w:line="260" w:lineRule="exact"/>
        <w:jc w:val="both"/>
        <w:rPr>
          <w:b/>
          <w:color w:val="0000FF"/>
          <w:sz w:val="22"/>
          <w:szCs w:val="22"/>
          <w:lang w:val="en-US"/>
        </w:rPr>
      </w:pPr>
      <w:r>
        <w:rPr>
          <w:b/>
          <w:color w:val="0000FF"/>
          <w:sz w:val="22"/>
          <w:szCs w:val="22"/>
          <w:lang w:val="en-US"/>
        </w:rPr>
        <w:t xml:space="preserve">UCITS </w:t>
      </w:r>
      <w:r w:rsidR="00697ABF">
        <w:rPr>
          <w:b/>
          <w:color w:val="0000FF"/>
          <w:sz w:val="22"/>
          <w:szCs w:val="22"/>
          <w:lang w:val="en-US"/>
        </w:rPr>
        <w:t xml:space="preserve">net assets </w:t>
      </w:r>
      <w:r w:rsidR="00E579E7">
        <w:rPr>
          <w:b/>
          <w:color w:val="0000FF"/>
          <w:sz w:val="22"/>
          <w:szCs w:val="22"/>
          <w:lang w:val="en-US"/>
        </w:rPr>
        <w:t>in</w:t>
      </w:r>
      <w:r w:rsidR="00490C6B">
        <w:rPr>
          <w:b/>
          <w:color w:val="0000FF"/>
          <w:sz w:val="22"/>
          <w:szCs w:val="22"/>
          <w:lang w:val="en-US"/>
        </w:rPr>
        <w:t xml:space="preserve">creased by </w:t>
      </w:r>
      <w:r w:rsidR="00E579E7">
        <w:rPr>
          <w:b/>
          <w:color w:val="0000FF"/>
          <w:sz w:val="22"/>
          <w:szCs w:val="22"/>
          <w:lang w:val="en-US"/>
        </w:rPr>
        <w:t>7.8</w:t>
      </w:r>
      <w:r w:rsidR="007F562C">
        <w:rPr>
          <w:b/>
          <w:color w:val="0000FF"/>
          <w:sz w:val="22"/>
          <w:szCs w:val="22"/>
          <w:lang w:val="en-US"/>
        </w:rPr>
        <w:t xml:space="preserve"> percent</w:t>
      </w:r>
      <w:r w:rsidR="000B6767">
        <w:rPr>
          <w:b/>
          <w:color w:val="0000FF"/>
          <w:sz w:val="22"/>
          <w:szCs w:val="22"/>
          <w:lang w:val="en-US"/>
        </w:rPr>
        <w:t xml:space="preserve"> </w:t>
      </w:r>
      <w:r w:rsidR="00FA6944">
        <w:rPr>
          <w:b/>
          <w:color w:val="0000FF"/>
          <w:sz w:val="22"/>
          <w:szCs w:val="22"/>
          <w:lang w:val="en-US"/>
        </w:rPr>
        <w:t xml:space="preserve">in </w:t>
      </w:r>
      <w:r w:rsidR="001E7DA7">
        <w:rPr>
          <w:b/>
          <w:color w:val="0000FF"/>
          <w:sz w:val="22"/>
          <w:szCs w:val="22"/>
          <w:lang w:val="en-US"/>
        </w:rPr>
        <w:t>Q1 201</w:t>
      </w:r>
      <w:r w:rsidR="00E579E7">
        <w:rPr>
          <w:b/>
          <w:color w:val="0000FF"/>
          <w:sz w:val="22"/>
          <w:szCs w:val="22"/>
          <w:lang w:val="en-US"/>
        </w:rPr>
        <w:t>9</w:t>
      </w:r>
      <w:r w:rsidR="001C57F8">
        <w:rPr>
          <w:b/>
          <w:color w:val="0000FF"/>
          <w:sz w:val="22"/>
          <w:szCs w:val="22"/>
          <w:lang w:val="en-US"/>
        </w:rPr>
        <w:t xml:space="preserve">, </w:t>
      </w:r>
      <w:r w:rsidR="00DD12A5">
        <w:rPr>
          <w:b/>
          <w:color w:val="0000FF"/>
          <w:sz w:val="22"/>
          <w:szCs w:val="22"/>
          <w:lang w:val="en-US"/>
        </w:rPr>
        <w:t xml:space="preserve">to total </w:t>
      </w:r>
      <w:r w:rsidR="001D64CB">
        <w:rPr>
          <w:b/>
          <w:color w:val="0000FF"/>
          <w:sz w:val="22"/>
          <w:szCs w:val="22"/>
          <w:lang w:val="en-US"/>
        </w:rPr>
        <w:t xml:space="preserve">EUR </w:t>
      </w:r>
      <w:r w:rsidR="00E579E7">
        <w:rPr>
          <w:b/>
          <w:color w:val="0000FF"/>
          <w:sz w:val="22"/>
          <w:szCs w:val="22"/>
          <w:lang w:val="en-US"/>
        </w:rPr>
        <w:t>10,004</w:t>
      </w:r>
      <w:r w:rsidR="00BB420E">
        <w:rPr>
          <w:b/>
          <w:color w:val="0000FF"/>
          <w:sz w:val="22"/>
          <w:szCs w:val="22"/>
          <w:lang w:val="en-US"/>
        </w:rPr>
        <w:t xml:space="preserve"> </w:t>
      </w:r>
      <w:r w:rsidR="00DF5FEC">
        <w:rPr>
          <w:b/>
          <w:color w:val="0000FF"/>
          <w:sz w:val="22"/>
          <w:szCs w:val="22"/>
          <w:lang w:val="en-US"/>
        </w:rPr>
        <w:t>b</w:t>
      </w:r>
      <w:r w:rsidR="000D2E16">
        <w:rPr>
          <w:b/>
          <w:color w:val="0000FF"/>
          <w:sz w:val="22"/>
          <w:szCs w:val="22"/>
          <w:lang w:val="en-US"/>
        </w:rPr>
        <w:t>illion</w:t>
      </w:r>
      <w:r w:rsidR="0060036C">
        <w:rPr>
          <w:b/>
          <w:color w:val="0000FF"/>
          <w:sz w:val="22"/>
          <w:szCs w:val="22"/>
          <w:lang w:val="en-US"/>
        </w:rPr>
        <w:t xml:space="preserve"> at end </w:t>
      </w:r>
      <w:r w:rsidR="001E7DA7">
        <w:rPr>
          <w:b/>
          <w:color w:val="0000FF"/>
          <w:sz w:val="22"/>
          <w:szCs w:val="22"/>
          <w:lang w:val="en-US"/>
        </w:rPr>
        <w:t>March 201</w:t>
      </w:r>
      <w:r w:rsidR="00E579E7">
        <w:rPr>
          <w:b/>
          <w:color w:val="0000FF"/>
          <w:sz w:val="22"/>
          <w:szCs w:val="22"/>
          <w:lang w:val="en-US"/>
        </w:rPr>
        <w:t>9</w:t>
      </w:r>
      <w:r w:rsidR="00130439">
        <w:rPr>
          <w:b/>
          <w:color w:val="0000FF"/>
          <w:sz w:val="22"/>
          <w:szCs w:val="22"/>
          <w:lang w:val="en-US"/>
        </w:rPr>
        <w:t>.</w:t>
      </w:r>
      <w:r w:rsidR="009D5D6A">
        <w:rPr>
          <w:b/>
          <w:color w:val="0000FF"/>
          <w:sz w:val="22"/>
          <w:szCs w:val="22"/>
          <w:lang w:val="en-US"/>
        </w:rPr>
        <w:t xml:space="preserve"> </w:t>
      </w:r>
    </w:p>
    <w:p w14:paraId="6302B1C6" w14:textId="77777777" w:rsidR="00090F82" w:rsidRDefault="00090F82" w:rsidP="00F54A67">
      <w:pPr>
        <w:pStyle w:val="Footer"/>
        <w:tabs>
          <w:tab w:val="left" w:pos="720"/>
          <w:tab w:val="left" w:pos="4320"/>
        </w:tabs>
        <w:spacing w:line="260" w:lineRule="exact"/>
        <w:jc w:val="both"/>
        <w:rPr>
          <w:color w:val="000000"/>
          <w:sz w:val="22"/>
          <w:szCs w:val="22"/>
          <w:lang w:val="en-US"/>
        </w:rPr>
      </w:pPr>
    </w:p>
    <w:p w14:paraId="796AECB1" w14:textId="4A21B4C0" w:rsidR="001E7DA7" w:rsidRPr="004F166A" w:rsidRDefault="00E579E7" w:rsidP="00E579E7">
      <w:pPr>
        <w:pStyle w:val="Footer"/>
        <w:tabs>
          <w:tab w:val="left" w:pos="720"/>
          <w:tab w:val="left" w:pos="4320"/>
        </w:tabs>
        <w:spacing w:line="260" w:lineRule="exact"/>
        <w:jc w:val="both"/>
        <w:rPr>
          <w:color w:val="000000"/>
          <w:sz w:val="22"/>
          <w:szCs w:val="22"/>
          <w:lang w:val="en-US"/>
        </w:rPr>
      </w:pPr>
      <w:r w:rsidRPr="00E579E7">
        <w:rPr>
          <w:color w:val="000000"/>
          <w:sz w:val="22"/>
          <w:szCs w:val="22"/>
          <w:lang w:val="en-US"/>
        </w:rPr>
        <w:t>All categories of UCITS</w:t>
      </w:r>
      <w:r w:rsidR="007176CC" w:rsidRPr="007176CC">
        <w:rPr>
          <w:color w:val="000000"/>
          <w:sz w:val="22"/>
          <w:szCs w:val="22"/>
          <w:lang w:val="en-US"/>
        </w:rPr>
        <w:t>, with the exception of guaranteed</w:t>
      </w:r>
      <w:r w:rsidRPr="00E579E7">
        <w:rPr>
          <w:color w:val="000000"/>
          <w:sz w:val="22"/>
          <w:szCs w:val="22"/>
          <w:lang w:val="en-US"/>
        </w:rPr>
        <w:t xml:space="preserve"> funds</w:t>
      </w:r>
      <w:r w:rsidR="007176CC">
        <w:rPr>
          <w:color w:val="000000"/>
          <w:sz w:val="22"/>
          <w:szCs w:val="22"/>
          <w:lang w:val="en-US"/>
        </w:rPr>
        <w:t>,</w:t>
      </w:r>
      <w:r w:rsidRPr="00E579E7">
        <w:rPr>
          <w:color w:val="000000"/>
          <w:sz w:val="22"/>
          <w:szCs w:val="22"/>
          <w:lang w:val="en-US"/>
        </w:rPr>
        <w:t xml:space="preserve"> experienced an increase in net assets in Q1 201</w:t>
      </w:r>
      <w:r>
        <w:rPr>
          <w:color w:val="000000"/>
          <w:sz w:val="22"/>
          <w:szCs w:val="22"/>
          <w:lang w:val="en-US"/>
        </w:rPr>
        <w:t>9</w:t>
      </w:r>
      <w:r w:rsidRPr="00E579E7">
        <w:rPr>
          <w:color w:val="000000"/>
          <w:sz w:val="22"/>
          <w:szCs w:val="22"/>
          <w:lang w:val="en-US"/>
        </w:rPr>
        <w:t>.</w:t>
      </w:r>
      <w:r>
        <w:rPr>
          <w:color w:val="000000"/>
          <w:sz w:val="22"/>
          <w:szCs w:val="22"/>
          <w:lang w:val="en-US"/>
        </w:rPr>
        <w:t xml:space="preserve"> </w:t>
      </w:r>
      <w:r w:rsidRPr="00E579E7">
        <w:rPr>
          <w:color w:val="000000"/>
          <w:sz w:val="22"/>
          <w:szCs w:val="22"/>
          <w:lang w:val="en-US"/>
        </w:rPr>
        <w:t xml:space="preserve">Net assets of equity funds increased by </w:t>
      </w:r>
      <w:r w:rsidR="007176CC">
        <w:rPr>
          <w:color w:val="000000"/>
          <w:sz w:val="22"/>
          <w:szCs w:val="22"/>
          <w:lang w:val="en-US"/>
        </w:rPr>
        <w:t>11.7</w:t>
      </w:r>
      <w:r w:rsidRPr="00E579E7">
        <w:rPr>
          <w:color w:val="000000"/>
          <w:sz w:val="22"/>
          <w:szCs w:val="22"/>
          <w:lang w:val="en-US"/>
        </w:rPr>
        <w:t xml:space="preserve">% to reach EUR </w:t>
      </w:r>
      <w:r>
        <w:rPr>
          <w:color w:val="000000"/>
          <w:sz w:val="22"/>
          <w:szCs w:val="22"/>
          <w:lang w:val="en-US"/>
        </w:rPr>
        <w:t xml:space="preserve">3,853 </w:t>
      </w:r>
      <w:r w:rsidRPr="00E579E7">
        <w:rPr>
          <w:color w:val="000000"/>
          <w:sz w:val="22"/>
          <w:szCs w:val="22"/>
          <w:lang w:val="en-US"/>
        </w:rPr>
        <w:t>billion</w:t>
      </w:r>
      <w:r>
        <w:rPr>
          <w:color w:val="000000"/>
          <w:sz w:val="22"/>
          <w:szCs w:val="22"/>
          <w:lang w:val="en-US"/>
        </w:rPr>
        <w:t xml:space="preserve"> </w:t>
      </w:r>
      <w:r w:rsidR="009907AE">
        <w:rPr>
          <w:color w:val="000000"/>
          <w:sz w:val="22"/>
          <w:szCs w:val="22"/>
          <w:lang w:val="en-US"/>
        </w:rPr>
        <w:t>at the end of March</w:t>
      </w:r>
      <w:r w:rsidRPr="00E579E7">
        <w:rPr>
          <w:color w:val="000000"/>
          <w:sz w:val="22"/>
          <w:szCs w:val="22"/>
          <w:lang w:val="en-US"/>
        </w:rPr>
        <w:t xml:space="preserve">. </w:t>
      </w:r>
      <w:r w:rsidR="006B72EF" w:rsidRPr="00E579E7">
        <w:rPr>
          <w:color w:val="000000"/>
          <w:sz w:val="22"/>
          <w:szCs w:val="22"/>
          <w:lang w:val="en-US"/>
        </w:rPr>
        <w:t>Bond funds</w:t>
      </w:r>
      <w:r w:rsidR="006B72EF">
        <w:rPr>
          <w:color w:val="000000"/>
          <w:sz w:val="22"/>
          <w:szCs w:val="22"/>
          <w:lang w:val="en-US"/>
        </w:rPr>
        <w:t xml:space="preserve"> </w:t>
      </w:r>
      <w:r w:rsidR="006B72EF" w:rsidRPr="00E579E7">
        <w:rPr>
          <w:color w:val="000000"/>
          <w:sz w:val="22"/>
          <w:szCs w:val="22"/>
          <w:lang w:val="en-US"/>
        </w:rPr>
        <w:t xml:space="preserve">increased </w:t>
      </w:r>
      <w:r w:rsidR="009907AE">
        <w:rPr>
          <w:color w:val="000000"/>
          <w:sz w:val="22"/>
          <w:szCs w:val="22"/>
          <w:lang w:val="en-US"/>
        </w:rPr>
        <w:t xml:space="preserve">by </w:t>
      </w:r>
      <w:r w:rsidR="006B72EF" w:rsidRPr="00E579E7">
        <w:rPr>
          <w:color w:val="000000"/>
          <w:sz w:val="22"/>
          <w:szCs w:val="22"/>
          <w:lang w:val="en-US"/>
        </w:rPr>
        <w:t>7.</w:t>
      </w:r>
      <w:r w:rsidR="006B72EF">
        <w:rPr>
          <w:color w:val="000000"/>
          <w:sz w:val="22"/>
          <w:szCs w:val="22"/>
          <w:lang w:val="en-US"/>
        </w:rPr>
        <w:t>3</w:t>
      </w:r>
      <w:r w:rsidR="006B72EF" w:rsidRPr="00E579E7">
        <w:rPr>
          <w:color w:val="000000"/>
          <w:sz w:val="22"/>
          <w:szCs w:val="22"/>
          <w:lang w:val="en-US"/>
        </w:rPr>
        <w:t xml:space="preserve">% to EUR </w:t>
      </w:r>
      <w:r w:rsidR="006B72EF">
        <w:rPr>
          <w:color w:val="000000"/>
          <w:sz w:val="22"/>
          <w:szCs w:val="22"/>
          <w:lang w:val="en-US"/>
        </w:rPr>
        <w:t xml:space="preserve">2,723 </w:t>
      </w:r>
      <w:r w:rsidR="006B72EF" w:rsidRPr="00E579E7">
        <w:rPr>
          <w:color w:val="000000"/>
          <w:sz w:val="22"/>
          <w:szCs w:val="22"/>
          <w:lang w:val="en-US"/>
        </w:rPr>
        <w:t>billion</w:t>
      </w:r>
      <w:r w:rsidR="006B72EF">
        <w:rPr>
          <w:color w:val="000000"/>
          <w:sz w:val="22"/>
          <w:szCs w:val="22"/>
          <w:lang w:val="en-US"/>
        </w:rPr>
        <w:t>,</w:t>
      </w:r>
      <w:r w:rsidR="007176CC">
        <w:rPr>
          <w:color w:val="000000"/>
          <w:sz w:val="22"/>
          <w:szCs w:val="22"/>
          <w:lang w:val="en-US"/>
        </w:rPr>
        <w:t xml:space="preserve"> </w:t>
      </w:r>
      <w:r w:rsidR="009907AE">
        <w:rPr>
          <w:color w:val="000000"/>
          <w:sz w:val="22"/>
          <w:szCs w:val="22"/>
          <w:lang w:val="en-US"/>
        </w:rPr>
        <w:t xml:space="preserve">whereas </w:t>
      </w:r>
      <w:r w:rsidR="006B72EF">
        <w:rPr>
          <w:color w:val="000000"/>
          <w:sz w:val="22"/>
          <w:szCs w:val="22"/>
          <w:lang w:val="en-US"/>
        </w:rPr>
        <w:t>m</w:t>
      </w:r>
      <w:r w:rsidRPr="00E579E7">
        <w:rPr>
          <w:color w:val="000000"/>
          <w:sz w:val="22"/>
          <w:szCs w:val="22"/>
          <w:lang w:val="en-US"/>
        </w:rPr>
        <w:t>ulti-asset funds</w:t>
      </w:r>
      <w:r w:rsidR="006B72EF">
        <w:rPr>
          <w:color w:val="000000"/>
          <w:sz w:val="22"/>
          <w:szCs w:val="22"/>
          <w:lang w:val="en-US"/>
        </w:rPr>
        <w:t xml:space="preserve"> increased by 6.6% to EUR 1,842 billion</w:t>
      </w:r>
      <w:r w:rsidRPr="00E579E7">
        <w:rPr>
          <w:color w:val="000000"/>
          <w:sz w:val="22"/>
          <w:szCs w:val="22"/>
          <w:lang w:val="en-US"/>
        </w:rPr>
        <w:t xml:space="preserve">. </w:t>
      </w:r>
      <w:r w:rsidR="006B72EF">
        <w:rPr>
          <w:color w:val="000000"/>
          <w:sz w:val="22"/>
          <w:szCs w:val="22"/>
          <w:lang w:val="en-US"/>
        </w:rPr>
        <w:t>“Other” UCITS funds and m</w:t>
      </w:r>
      <w:r w:rsidR="006B72EF" w:rsidRPr="00E579E7">
        <w:rPr>
          <w:color w:val="000000"/>
          <w:sz w:val="22"/>
          <w:szCs w:val="22"/>
          <w:lang w:val="en-US"/>
        </w:rPr>
        <w:t>oney market</w:t>
      </w:r>
      <w:r w:rsidR="006B72EF">
        <w:rPr>
          <w:color w:val="000000"/>
          <w:sz w:val="22"/>
          <w:szCs w:val="22"/>
          <w:lang w:val="en-US"/>
        </w:rPr>
        <w:t xml:space="preserve"> </w:t>
      </w:r>
      <w:r w:rsidR="006B72EF" w:rsidRPr="00E579E7">
        <w:rPr>
          <w:color w:val="000000"/>
          <w:sz w:val="22"/>
          <w:szCs w:val="22"/>
          <w:lang w:val="en-US"/>
        </w:rPr>
        <w:t xml:space="preserve">funds </w:t>
      </w:r>
      <w:r w:rsidRPr="00E579E7">
        <w:rPr>
          <w:color w:val="000000"/>
          <w:sz w:val="22"/>
          <w:szCs w:val="22"/>
          <w:lang w:val="en-US"/>
        </w:rPr>
        <w:t>follow</w:t>
      </w:r>
      <w:r w:rsidR="009907AE">
        <w:rPr>
          <w:color w:val="000000"/>
          <w:sz w:val="22"/>
          <w:szCs w:val="22"/>
          <w:lang w:val="en-US"/>
        </w:rPr>
        <w:t>ed</w:t>
      </w:r>
      <w:r w:rsidRPr="00E579E7">
        <w:rPr>
          <w:color w:val="000000"/>
          <w:sz w:val="22"/>
          <w:szCs w:val="22"/>
          <w:lang w:val="en-US"/>
        </w:rPr>
        <w:t xml:space="preserve"> in this ranking, increasing </w:t>
      </w:r>
      <w:r w:rsidR="006B72EF">
        <w:rPr>
          <w:color w:val="000000"/>
          <w:sz w:val="22"/>
          <w:szCs w:val="22"/>
          <w:lang w:val="en-US"/>
        </w:rPr>
        <w:t>1.2</w:t>
      </w:r>
      <w:r w:rsidRPr="00E579E7">
        <w:rPr>
          <w:color w:val="000000"/>
          <w:sz w:val="22"/>
          <w:szCs w:val="22"/>
          <w:lang w:val="en-US"/>
        </w:rPr>
        <w:t xml:space="preserve">% and </w:t>
      </w:r>
      <w:r w:rsidR="006B72EF">
        <w:rPr>
          <w:color w:val="000000"/>
          <w:sz w:val="22"/>
          <w:szCs w:val="22"/>
          <w:lang w:val="en-US"/>
        </w:rPr>
        <w:t>1.0</w:t>
      </w:r>
      <w:r w:rsidRPr="00E579E7">
        <w:rPr>
          <w:color w:val="000000"/>
          <w:sz w:val="22"/>
          <w:szCs w:val="22"/>
          <w:lang w:val="en-US"/>
        </w:rPr>
        <w:t>%</w:t>
      </w:r>
      <w:r w:rsidR="009907AE">
        <w:rPr>
          <w:color w:val="000000"/>
          <w:sz w:val="22"/>
          <w:szCs w:val="22"/>
          <w:lang w:val="en-US"/>
        </w:rPr>
        <w:t>,</w:t>
      </w:r>
      <w:r w:rsidRPr="00E579E7">
        <w:rPr>
          <w:color w:val="000000"/>
          <w:sz w:val="22"/>
          <w:szCs w:val="22"/>
          <w:lang w:val="en-US"/>
        </w:rPr>
        <w:t xml:space="preserve"> respectively.</w:t>
      </w:r>
    </w:p>
    <w:p w14:paraId="1607347F" w14:textId="7FF7B94F" w:rsidR="00C005C0" w:rsidRPr="008E2EF5" w:rsidRDefault="00C005C0" w:rsidP="00F54A67">
      <w:pPr>
        <w:pStyle w:val="Footer"/>
        <w:tabs>
          <w:tab w:val="left" w:pos="720"/>
          <w:tab w:val="left" w:pos="4320"/>
        </w:tabs>
        <w:spacing w:line="260" w:lineRule="exact"/>
        <w:jc w:val="both"/>
        <w:rPr>
          <w:color w:val="000000"/>
          <w:sz w:val="22"/>
          <w:szCs w:val="22"/>
          <w:lang w:val="en-US"/>
        </w:rPr>
      </w:pPr>
    </w:p>
    <w:p w14:paraId="2D7598B8" w14:textId="5CE3E0E1" w:rsidR="00864033" w:rsidRDefault="00A7658E" w:rsidP="00864033">
      <w:pPr>
        <w:pStyle w:val="Footer"/>
        <w:tabs>
          <w:tab w:val="left" w:pos="720"/>
          <w:tab w:val="left" w:pos="4320"/>
        </w:tabs>
        <w:spacing w:line="260" w:lineRule="exact"/>
        <w:jc w:val="both"/>
        <w:rPr>
          <w:color w:val="000000"/>
          <w:sz w:val="22"/>
          <w:szCs w:val="22"/>
          <w:lang w:val="en-US"/>
        </w:rPr>
      </w:pPr>
      <w:r w:rsidRPr="00C43CED">
        <w:rPr>
          <w:color w:val="000000"/>
          <w:sz w:val="22"/>
          <w:szCs w:val="22"/>
          <w:lang w:val="en-US"/>
        </w:rPr>
        <w:t>The number of UCITS</w:t>
      </w:r>
      <w:r w:rsidR="00EA7631">
        <w:rPr>
          <w:color w:val="000000"/>
          <w:sz w:val="22"/>
          <w:szCs w:val="22"/>
          <w:lang w:val="en-US"/>
        </w:rPr>
        <w:t xml:space="preserve"> funds </w:t>
      </w:r>
      <w:r w:rsidR="00B422FC">
        <w:rPr>
          <w:color w:val="000000"/>
          <w:sz w:val="22"/>
          <w:szCs w:val="22"/>
          <w:lang w:val="en-US"/>
        </w:rPr>
        <w:t>in</w:t>
      </w:r>
      <w:r w:rsidR="00931CC4">
        <w:rPr>
          <w:color w:val="000000"/>
          <w:sz w:val="22"/>
          <w:szCs w:val="22"/>
          <w:lang w:val="en-US"/>
        </w:rPr>
        <w:t>creased</w:t>
      </w:r>
      <w:r w:rsidR="0012416B">
        <w:rPr>
          <w:color w:val="000000"/>
          <w:sz w:val="22"/>
          <w:szCs w:val="22"/>
          <w:lang w:val="en-US"/>
        </w:rPr>
        <w:t xml:space="preserve"> from </w:t>
      </w:r>
      <w:r w:rsidR="006B72EF">
        <w:rPr>
          <w:color w:val="000000"/>
          <w:sz w:val="22"/>
          <w:szCs w:val="22"/>
          <w:lang w:val="en-US"/>
        </w:rPr>
        <w:t>33,370</w:t>
      </w:r>
      <w:r w:rsidR="00BB420E">
        <w:rPr>
          <w:color w:val="000000"/>
          <w:sz w:val="22"/>
          <w:szCs w:val="22"/>
          <w:lang w:val="en-US"/>
        </w:rPr>
        <w:t xml:space="preserve"> </w:t>
      </w:r>
      <w:r w:rsidR="0060036C">
        <w:rPr>
          <w:color w:val="000000"/>
          <w:sz w:val="22"/>
          <w:szCs w:val="22"/>
          <w:lang w:val="en-US"/>
        </w:rPr>
        <w:t xml:space="preserve">at end </w:t>
      </w:r>
      <w:r w:rsidR="009410F3">
        <w:rPr>
          <w:color w:val="000000"/>
          <w:sz w:val="22"/>
          <w:szCs w:val="22"/>
          <w:lang w:val="en-US"/>
        </w:rPr>
        <w:t>201</w:t>
      </w:r>
      <w:r w:rsidR="006B72EF">
        <w:rPr>
          <w:color w:val="000000"/>
          <w:sz w:val="22"/>
          <w:szCs w:val="22"/>
          <w:lang w:val="en-US"/>
        </w:rPr>
        <w:t>8</w:t>
      </w:r>
      <w:r w:rsidR="00EB1631">
        <w:rPr>
          <w:color w:val="000000"/>
          <w:sz w:val="22"/>
          <w:szCs w:val="22"/>
          <w:lang w:val="en-US"/>
        </w:rPr>
        <w:t xml:space="preserve"> to </w:t>
      </w:r>
      <w:r w:rsidR="006B72EF">
        <w:rPr>
          <w:color w:val="000000"/>
          <w:sz w:val="22"/>
          <w:szCs w:val="22"/>
          <w:lang w:val="en-US"/>
        </w:rPr>
        <w:t>33,570</w:t>
      </w:r>
      <w:r w:rsidR="00BB420E">
        <w:rPr>
          <w:color w:val="000000"/>
          <w:sz w:val="22"/>
          <w:szCs w:val="22"/>
          <w:lang w:val="en-US"/>
        </w:rPr>
        <w:t xml:space="preserve"> </w:t>
      </w:r>
      <w:r w:rsidR="0060036C">
        <w:rPr>
          <w:color w:val="000000"/>
          <w:sz w:val="22"/>
          <w:szCs w:val="22"/>
          <w:lang w:val="en-US"/>
        </w:rPr>
        <w:t xml:space="preserve">at end </w:t>
      </w:r>
      <w:r w:rsidR="0009375C">
        <w:rPr>
          <w:color w:val="000000"/>
          <w:sz w:val="22"/>
          <w:szCs w:val="22"/>
          <w:lang w:val="en-US"/>
        </w:rPr>
        <w:t>Q1 201</w:t>
      </w:r>
      <w:r w:rsidR="006B72EF">
        <w:rPr>
          <w:color w:val="000000"/>
          <w:sz w:val="22"/>
          <w:szCs w:val="22"/>
          <w:lang w:val="en-US"/>
        </w:rPr>
        <w:t>9</w:t>
      </w:r>
      <w:r w:rsidR="00EB1631">
        <w:rPr>
          <w:color w:val="000000"/>
          <w:sz w:val="22"/>
          <w:szCs w:val="22"/>
          <w:lang w:val="en-US"/>
        </w:rPr>
        <w:t>.</w:t>
      </w:r>
      <w:r w:rsidR="00FC410F">
        <w:rPr>
          <w:color w:val="000000"/>
          <w:sz w:val="22"/>
          <w:szCs w:val="22"/>
          <w:lang w:val="en-US"/>
        </w:rPr>
        <w:t xml:space="preserve"> </w:t>
      </w:r>
    </w:p>
    <w:p w14:paraId="1370A79C" w14:textId="373CE199" w:rsidR="007A1A7E" w:rsidRPr="00D40D0F" w:rsidRDefault="007A1A7E" w:rsidP="00864033">
      <w:pPr>
        <w:pStyle w:val="Footer"/>
        <w:tabs>
          <w:tab w:val="left" w:pos="720"/>
          <w:tab w:val="left" w:pos="4320"/>
        </w:tabs>
        <w:spacing w:line="260" w:lineRule="exact"/>
        <w:jc w:val="both"/>
        <w:rPr>
          <w:noProof/>
          <w:color w:val="000000"/>
          <w:sz w:val="22"/>
          <w:szCs w:val="22"/>
          <w:lang w:val="en-US" w:eastAsia="nl-BE"/>
        </w:rPr>
      </w:pPr>
    </w:p>
    <w:p w14:paraId="63DABA33" w14:textId="25049FD6" w:rsidR="00D40D0F" w:rsidRPr="00864033" w:rsidRDefault="00970114" w:rsidP="00864033">
      <w:pPr>
        <w:pStyle w:val="Footer"/>
        <w:tabs>
          <w:tab w:val="left" w:pos="720"/>
          <w:tab w:val="left" w:pos="4320"/>
        </w:tabs>
        <w:spacing w:line="260" w:lineRule="exact"/>
        <w:jc w:val="both"/>
        <w:rPr>
          <w:color w:val="000000"/>
          <w:sz w:val="22"/>
          <w:szCs w:val="22"/>
          <w:lang w:val="en-US"/>
        </w:rPr>
      </w:pPr>
      <w:r w:rsidRPr="00970114">
        <w:rPr>
          <w:noProof/>
          <w:lang w:val="nl-BE" w:eastAsia="nl-BE"/>
        </w:rPr>
        <w:drawing>
          <wp:anchor distT="0" distB="0" distL="114300" distR="114300" simplePos="0" relativeHeight="251784192" behindDoc="0" locked="0" layoutInCell="1" allowOverlap="1" wp14:anchorId="61D03B1F" wp14:editId="3D748C44">
            <wp:simplePos x="0" y="0"/>
            <wp:positionH relativeFrom="margin">
              <wp:align>center</wp:align>
            </wp:positionH>
            <wp:positionV relativeFrom="paragraph">
              <wp:posOffset>13970</wp:posOffset>
            </wp:positionV>
            <wp:extent cx="4572000" cy="7019925"/>
            <wp:effectExtent l="0" t="0" r="0"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7019925"/>
                    </a:xfrm>
                    <a:prstGeom prst="rect">
                      <a:avLst/>
                    </a:prstGeom>
                    <a:noFill/>
                    <a:ln>
                      <a:noFill/>
                    </a:ln>
                  </pic:spPr>
                </pic:pic>
              </a:graphicData>
            </a:graphic>
          </wp:anchor>
        </w:drawing>
      </w:r>
    </w:p>
    <w:p w14:paraId="59262F03" w14:textId="77777777" w:rsidR="007A1A7E" w:rsidRPr="00864033" w:rsidRDefault="007A1A7E" w:rsidP="00864033">
      <w:pPr>
        <w:pStyle w:val="Footer"/>
        <w:tabs>
          <w:tab w:val="left" w:pos="720"/>
          <w:tab w:val="left" w:pos="4320"/>
        </w:tabs>
        <w:spacing w:line="260" w:lineRule="exact"/>
        <w:jc w:val="both"/>
        <w:rPr>
          <w:color w:val="000000"/>
          <w:sz w:val="22"/>
          <w:szCs w:val="22"/>
          <w:lang w:val="en-US"/>
        </w:rPr>
      </w:pPr>
    </w:p>
    <w:p w14:paraId="28E662ED" w14:textId="358169DB" w:rsidR="007A1A7E" w:rsidRPr="00864033" w:rsidRDefault="007A1A7E" w:rsidP="00864033">
      <w:pPr>
        <w:pStyle w:val="Footer"/>
        <w:tabs>
          <w:tab w:val="left" w:pos="720"/>
          <w:tab w:val="left" w:pos="4320"/>
        </w:tabs>
        <w:spacing w:line="260" w:lineRule="exact"/>
        <w:jc w:val="both"/>
        <w:rPr>
          <w:color w:val="000000"/>
          <w:sz w:val="22"/>
          <w:szCs w:val="22"/>
          <w:lang w:val="en-US"/>
        </w:rPr>
      </w:pPr>
    </w:p>
    <w:p w14:paraId="296DF9F6" w14:textId="201D8C55" w:rsidR="007A1A7E" w:rsidRPr="00864033" w:rsidRDefault="007A1A7E" w:rsidP="00864033">
      <w:pPr>
        <w:pStyle w:val="Footer"/>
        <w:tabs>
          <w:tab w:val="left" w:pos="720"/>
          <w:tab w:val="left" w:pos="4320"/>
        </w:tabs>
        <w:spacing w:line="260" w:lineRule="exact"/>
        <w:jc w:val="both"/>
        <w:rPr>
          <w:color w:val="000000"/>
          <w:sz w:val="22"/>
          <w:szCs w:val="22"/>
          <w:lang w:val="en-US"/>
        </w:rPr>
      </w:pPr>
    </w:p>
    <w:p w14:paraId="7B1B205D" w14:textId="31FF2A40" w:rsidR="007A1A7E" w:rsidRPr="00864033" w:rsidRDefault="007A1A7E" w:rsidP="00864033">
      <w:pPr>
        <w:pStyle w:val="Footer"/>
        <w:tabs>
          <w:tab w:val="left" w:pos="720"/>
          <w:tab w:val="left" w:pos="4320"/>
        </w:tabs>
        <w:spacing w:line="260" w:lineRule="exact"/>
        <w:jc w:val="both"/>
        <w:rPr>
          <w:color w:val="000000"/>
          <w:sz w:val="22"/>
          <w:szCs w:val="22"/>
          <w:lang w:val="en-US"/>
        </w:rPr>
      </w:pPr>
    </w:p>
    <w:p w14:paraId="5AB5935C" w14:textId="77777777" w:rsidR="007A1A7E" w:rsidRPr="00864033" w:rsidRDefault="007A1A7E" w:rsidP="00864033">
      <w:pPr>
        <w:pStyle w:val="Footer"/>
        <w:tabs>
          <w:tab w:val="left" w:pos="720"/>
          <w:tab w:val="left" w:pos="4320"/>
        </w:tabs>
        <w:spacing w:line="260" w:lineRule="exact"/>
        <w:jc w:val="both"/>
        <w:rPr>
          <w:color w:val="000000"/>
          <w:sz w:val="22"/>
          <w:szCs w:val="22"/>
          <w:lang w:val="en-US"/>
        </w:rPr>
      </w:pPr>
    </w:p>
    <w:p w14:paraId="02E308C4"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5AD40099"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1227CCAC"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1BE399DC"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05924951"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58136B56"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7C09A3F2"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18E375B9"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692808F4"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3FEC752C"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6D57EE7A"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6164A1D3"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6CA0FDE2"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7738A5F5"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5343A6B5"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655F4D96"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1430598C"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1DE81279"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6B1971CA"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4A2F3750"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1069C551"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44C37251" w14:textId="77777777" w:rsidR="007A1A7E" w:rsidRPr="00716779" w:rsidRDefault="007A1A7E" w:rsidP="00716779">
      <w:pPr>
        <w:pStyle w:val="Footer"/>
        <w:tabs>
          <w:tab w:val="left" w:pos="720"/>
          <w:tab w:val="left" w:pos="4320"/>
        </w:tabs>
        <w:spacing w:line="260" w:lineRule="exact"/>
        <w:jc w:val="both"/>
        <w:rPr>
          <w:color w:val="000000"/>
          <w:sz w:val="22"/>
          <w:szCs w:val="22"/>
          <w:lang w:val="en-US"/>
        </w:rPr>
      </w:pPr>
    </w:p>
    <w:p w14:paraId="1905689E" w14:textId="77777777" w:rsidR="00BE2045" w:rsidRPr="001B65E9" w:rsidRDefault="007A1A7E" w:rsidP="00716779">
      <w:pPr>
        <w:pStyle w:val="Footer"/>
        <w:tabs>
          <w:tab w:val="left" w:pos="720"/>
          <w:tab w:val="left" w:pos="4320"/>
        </w:tabs>
        <w:spacing w:line="260" w:lineRule="exact"/>
        <w:jc w:val="both"/>
        <w:rPr>
          <w:b/>
          <w:bCs/>
          <w:i/>
          <w:iCs/>
          <w:sz w:val="28"/>
          <w:szCs w:val="28"/>
          <w:lang w:val="en-US"/>
          <w14:shadow w14:blurRad="50800" w14:dist="38100" w14:dir="2700000" w14:sx="100000" w14:sy="100000" w14:kx="0" w14:ky="0" w14:algn="tl">
            <w14:srgbClr w14:val="000000">
              <w14:alpha w14:val="60000"/>
            </w14:srgbClr>
          </w14:shadow>
        </w:rPr>
      </w:pPr>
      <w:r>
        <w:rPr>
          <w:color w:val="000000"/>
          <w:sz w:val="22"/>
          <w:szCs w:val="22"/>
          <w:lang w:val="en-US"/>
        </w:rPr>
        <w:br w:type="page"/>
      </w:r>
      <w:r w:rsidR="00D63569">
        <w:rPr>
          <w:color w:val="000000"/>
          <w:sz w:val="22"/>
          <w:szCs w:val="22"/>
          <w:lang w:val="en-US"/>
        </w:rPr>
        <w:lastRenderedPageBreak/>
        <w:t xml:space="preserve">                                                          </w:t>
      </w:r>
      <w:r w:rsidR="00BE2045" w:rsidRPr="001B65E9">
        <w:rPr>
          <w:b/>
          <w:bCs/>
          <w:sz w:val="28"/>
          <w:szCs w:val="28"/>
          <w:lang w:val="en-US"/>
          <w14:shadow w14:blurRad="50800" w14:dist="38100" w14:dir="2700000" w14:sx="100000" w14:sy="100000" w14:kx="0" w14:ky="0" w14:algn="tl">
            <w14:srgbClr w14:val="000000">
              <w14:alpha w14:val="60000"/>
            </w14:srgbClr>
          </w14:shadow>
        </w:rPr>
        <w:t>Trends in the UCITS Market</w:t>
      </w:r>
    </w:p>
    <w:p w14:paraId="7F8B2B0B" w14:textId="77777777" w:rsidR="00BE2045" w:rsidRPr="001B65E9" w:rsidRDefault="00BE2045">
      <w:pPr>
        <w:pStyle w:val="Footer"/>
        <w:jc w:val="center"/>
        <w:rPr>
          <w:b/>
          <w:bCs/>
          <w:i/>
          <w:iCs/>
          <w:sz w:val="28"/>
          <w:szCs w:val="28"/>
          <w:lang w:val="en-US"/>
          <w14:shadow w14:blurRad="50800" w14:dist="38100" w14:dir="2700000" w14:sx="100000" w14:sy="100000" w14:kx="0" w14:ky="0" w14:algn="tl">
            <w14:srgbClr w14:val="000000">
              <w14:alpha w14:val="60000"/>
            </w14:srgbClr>
          </w14:shadow>
        </w:rPr>
      </w:pPr>
      <w:r w:rsidRPr="001B65E9">
        <w:rPr>
          <w:b/>
          <w:bCs/>
          <w:i/>
          <w:iCs/>
          <w:sz w:val="28"/>
          <w:szCs w:val="28"/>
          <w:lang w:val="en-US"/>
          <w14:shadow w14:blurRad="50800" w14:dist="38100" w14:dir="2700000" w14:sx="100000" w14:sy="100000" w14:kx="0" w14:ky="0" w14:algn="tl">
            <w14:srgbClr w14:val="000000">
              <w14:alpha w14:val="60000"/>
            </w14:srgbClr>
          </w14:shadow>
        </w:rPr>
        <w:t>N</w:t>
      </w:r>
      <w:r w:rsidR="00054657" w:rsidRPr="001B65E9">
        <w:rPr>
          <w:b/>
          <w:bCs/>
          <w:i/>
          <w:iCs/>
          <w:sz w:val="28"/>
          <w:szCs w:val="28"/>
          <w:lang w:val="en-US"/>
          <w14:shadow w14:blurRad="50800" w14:dist="38100" w14:dir="2700000" w14:sx="100000" w14:sy="100000" w14:kx="0" w14:ky="0" w14:algn="tl">
            <w14:srgbClr w14:val="000000">
              <w14:alpha w14:val="60000"/>
            </w14:srgbClr>
          </w14:shadow>
        </w:rPr>
        <w:t>et Assets by Country of Domiciliation</w:t>
      </w:r>
    </w:p>
    <w:bookmarkEnd w:id="0"/>
    <w:p w14:paraId="18FF474D" w14:textId="77777777" w:rsidR="002265B4" w:rsidRDefault="002265B4" w:rsidP="00761873">
      <w:pPr>
        <w:pStyle w:val="FootnoteText"/>
        <w:jc w:val="both"/>
        <w:rPr>
          <w:bCs/>
          <w:color w:val="000000"/>
          <w:sz w:val="22"/>
          <w:szCs w:val="22"/>
        </w:rPr>
      </w:pPr>
    </w:p>
    <w:p w14:paraId="145F03A8" w14:textId="5A52D9CE" w:rsidR="00221202" w:rsidRPr="00716779" w:rsidRDefault="00716779" w:rsidP="00761873">
      <w:pPr>
        <w:pStyle w:val="FootnoteText"/>
        <w:jc w:val="both"/>
        <w:rPr>
          <w:b/>
          <w:color w:val="0000FF"/>
          <w:sz w:val="22"/>
          <w:szCs w:val="22"/>
        </w:rPr>
      </w:pPr>
      <w:r w:rsidRPr="00716779">
        <w:rPr>
          <w:b/>
          <w:color w:val="0000FF"/>
          <w:sz w:val="22"/>
          <w:szCs w:val="22"/>
        </w:rPr>
        <w:t xml:space="preserve">Net assets of UCITS amounted to EUR </w:t>
      </w:r>
      <w:r w:rsidR="00E8232F">
        <w:rPr>
          <w:b/>
          <w:color w:val="0000FF"/>
          <w:sz w:val="22"/>
          <w:szCs w:val="22"/>
        </w:rPr>
        <w:t>10,004</w:t>
      </w:r>
      <w:r w:rsidRPr="00716779">
        <w:rPr>
          <w:b/>
          <w:color w:val="0000FF"/>
          <w:sz w:val="22"/>
          <w:szCs w:val="22"/>
        </w:rPr>
        <w:t xml:space="preserve"> billion at end </w:t>
      </w:r>
      <w:r w:rsidR="009B7F39">
        <w:rPr>
          <w:b/>
          <w:color w:val="0000FF"/>
          <w:sz w:val="22"/>
          <w:szCs w:val="22"/>
        </w:rPr>
        <w:t xml:space="preserve">Q1 </w:t>
      </w:r>
      <w:r w:rsidRPr="00716779">
        <w:rPr>
          <w:b/>
          <w:color w:val="0000FF"/>
          <w:sz w:val="22"/>
          <w:szCs w:val="22"/>
        </w:rPr>
        <w:t>201</w:t>
      </w:r>
      <w:r w:rsidR="00E8232F">
        <w:rPr>
          <w:b/>
          <w:color w:val="0000FF"/>
          <w:sz w:val="22"/>
          <w:szCs w:val="22"/>
        </w:rPr>
        <w:t>9</w:t>
      </w:r>
      <w:r w:rsidR="009B7F39">
        <w:rPr>
          <w:b/>
          <w:color w:val="0000FF"/>
          <w:sz w:val="22"/>
          <w:szCs w:val="22"/>
        </w:rPr>
        <w:t>, with a</w:t>
      </w:r>
      <w:r w:rsidR="00870154">
        <w:rPr>
          <w:b/>
          <w:color w:val="0000FF"/>
          <w:sz w:val="22"/>
          <w:szCs w:val="22"/>
        </w:rPr>
        <w:t>l</w:t>
      </w:r>
      <w:r w:rsidR="009907AE">
        <w:rPr>
          <w:b/>
          <w:color w:val="0000FF"/>
          <w:sz w:val="22"/>
          <w:szCs w:val="22"/>
        </w:rPr>
        <w:t>most all</w:t>
      </w:r>
      <w:r w:rsidR="002B5177" w:rsidRPr="00716779">
        <w:rPr>
          <w:b/>
          <w:color w:val="0000FF"/>
          <w:sz w:val="22"/>
          <w:szCs w:val="22"/>
        </w:rPr>
        <w:t xml:space="preserve"> </w:t>
      </w:r>
      <w:r w:rsidR="003117F0" w:rsidRPr="00716779">
        <w:rPr>
          <w:b/>
          <w:color w:val="0000FF"/>
          <w:sz w:val="22"/>
          <w:szCs w:val="22"/>
        </w:rPr>
        <w:t>domiciles</w:t>
      </w:r>
      <w:r w:rsidR="00262840" w:rsidRPr="00716779">
        <w:rPr>
          <w:b/>
          <w:color w:val="0000FF"/>
          <w:sz w:val="22"/>
          <w:szCs w:val="22"/>
        </w:rPr>
        <w:t xml:space="preserve"> </w:t>
      </w:r>
      <w:r w:rsidR="00A04121" w:rsidRPr="00716779">
        <w:rPr>
          <w:b/>
          <w:color w:val="0000FF"/>
          <w:sz w:val="22"/>
          <w:szCs w:val="22"/>
        </w:rPr>
        <w:t>record</w:t>
      </w:r>
      <w:r w:rsidR="009B7F39">
        <w:rPr>
          <w:b/>
          <w:color w:val="0000FF"/>
          <w:sz w:val="22"/>
          <w:szCs w:val="22"/>
        </w:rPr>
        <w:t>ing</w:t>
      </w:r>
      <w:r w:rsidR="002429E3" w:rsidRPr="00716779">
        <w:rPr>
          <w:b/>
          <w:color w:val="0000FF"/>
          <w:sz w:val="22"/>
          <w:szCs w:val="22"/>
        </w:rPr>
        <w:t xml:space="preserve"> </w:t>
      </w:r>
      <w:r w:rsidR="00870154">
        <w:rPr>
          <w:b/>
          <w:color w:val="0000FF"/>
          <w:sz w:val="22"/>
          <w:szCs w:val="22"/>
        </w:rPr>
        <w:t>a growth in net asset</w:t>
      </w:r>
      <w:r w:rsidR="009B7F39">
        <w:rPr>
          <w:b/>
          <w:color w:val="0000FF"/>
          <w:sz w:val="22"/>
          <w:szCs w:val="22"/>
        </w:rPr>
        <w:t>s.</w:t>
      </w:r>
    </w:p>
    <w:p w14:paraId="1C1BFDBB" w14:textId="59937910" w:rsidR="00221202" w:rsidRPr="00716779" w:rsidRDefault="008D2FBF" w:rsidP="00761873">
      <w:pPr>
        <w:pStyle w:val="FootnoteText"/>
        <w:jc w:val="both"/>
        <w:rPr>
          <w:b/>
          <w:color w:val="0000FF"/>
          <w:sz w:val="22"/>
          <w:szCs w:val="22"/>
        </w:rPr>
      </w:pPr>
      <w:r>
        <w:rPr>
          <w:b/>
          <w:color w:val="0000FF"/>
          <w:sz w:val="22"/>
          <w:szCs w:val="22"/>
        </w:rPr>
        <w:t xml:space="preserve"> </w:t>
      </w:r>
    </w:p>
    <w:p w14:paraId="025730E0" w14:textId="377AA8BA" w:rsidR="00C94615" w:rsidRDefault="00E8232F">
      <w:pPr>
        <w:pStyle w:val="FootnoteText"/>
        <w:jc w:val="both"/>
        <w:rPr>
          <w:bCs/>
          <w:color w:val="000000"/>
          <w:sz w:val="22"/>
          <w:szCs w:val="22"/>
        </w:rPr>
      </w:pPr>
      <w:r w:rsidRPr="00E8232F">
        <w:rPr>
          <w:bCs/>
          <w:color w:val="000000"/>
          <w:sz w:val="22"/>
          <w:szCs w:val="22"/>
        </w:rPr>
        <w:t>All major domiciles recorded net asset growth in the first quarter of 201</w:t>
      </w:r>
      <w:r>
        <w:rPr>
          <w:bCs/>
          <w:color w:val="000000"/>
          <w:sz w:val="22"/>
          <w:szCs w:val="22"/>
        </w:rPr>
        <w:t>9</w:t>
      </w:r>
      <w:r w:rsidRPr="00E8232F">
        <w:rPr>
          <w:bCs/>
          <w:color w:val="000000"/>
          <w:sz w:val="22"/>
          <w:szCs w:val="22"/>
        </w:rPr>
        <w:t>. Net assets of UCITS domiciled</w:t>
      </w:r>
      <w:r w:rsidR="00870154">
        <w:rPr>
          <w:bCs/>
          <w:color w:val="000000"/>
          <w:sz w:val="22"/>
          <w:szCs w:val="22"/>
        </w:rPr>
        <w:t xml:space="preserve"> </w:t>
      </w:r>
      <w:r w:rsidRPr="00E8232F">
        <w:rPr>
          <w:bCs/>
          <w:color w:val="000000"/>
          <w:sz w:val="22"/>
          <w:szCs w:val="22"/>
        </w:rPr>
        <w:t xml:space="preserve">in Ireland increased by </w:t>
      </w:r>
      <w:r>
        <w:rPr>
          <w:bCs/>
          <w:color w:val="000000"/>
          <w:sz w:val="22"/>
          <w:szCs w:val="22"/>
        </w:rPr>
        <w:t>8</w:t>
      </w:r>
      <w:r w:rsidRPr="00BE24EC">
        <w:rPr>
          <w:bCs/>
          <w:color w:val="000000"/>
          <w:sz w:val="22"/>
          <w:szCs w:val="22"/>
        </w:rPr>
        <w:t>.9 percent, followed by Germany (7.9%)</w:t>
      </w:r>
      <w:r w:rsidR="00046BAA" w:rsidRPr="00BE24EC">
        <w:rPr>
          <w:bCs/>
          <w:color w:val="000000"/>
          <w:sz w:val="22"/>
          <w:szCs w:val="22"/>
        </w:rPr>
        <w:t>.</w:t>
      </w:r>
      <w:r w:rsidR="00046BAA">
        <w:rPr>
          <w:bCs/>
          <w:color w:val="000000"/>
          <w:sz w:val="22"/>
          <w:szCs w:val="22"/>
        </w:rPr>
        <w:t xml:space="preserve"> </w:t>
      </w:r>
      <w:r w:rsidR="00046BAA" w:rsidRPr="00E8232F">
        <w:rPr>
          <w:bCs/>
          <w:color w:val="000000"/>
          <w:sz w:val="22"/>
          <w:szCs w:val="22"/>
        </w:rPr>
        <w:t>Luxemb</w:t>
      </w:r>
      <w:r w:rsidR="009907AE">
        <w:rPr>
          <w:bCs/>
          <w:color w:val="000000"/>
          <w:sz w:val="22"/>
          <w:szCs w:val="22"/>
        </w:rPr>
        <w:t>o</w:t>
      </w:r>
      <w:r w:rsidR="00046BAA" w:rsidRPr="00E8232F">
        <w:rPr>
          <w:bCs/>
          <w:color w:val="000000"/>
          <w:sz w:val="22"/>
          <w:szCs w:val="22"/>
        </w:rPr>
        <w:t>urg</w:t>
      </w:r>
      <w:r w:rsidR="00046BAA">
        <w:rPr>
          <w:bCs/>
          <w:color w:val="000000"/>
          <w:sz w:val="22"/>
          <w:szCs w:val="22"/>
        </w:rPr>
        <w:t xml:space="preserve"> and the </w:t>
      </w:r>
      <w:r w:rsidRPr="00E8232F">
        <w:rPr>
          <w:bCs/>
          <w:color w:val="000000"/>
          <w:sz w:val="22"/>
          <w:szCs w:val="22"/>
        </w:rPr>
        <w:t>United Kingdom</w:t>
      </w:r>
      <w:r w:rsidR="00046BAA">
        <w:rPr>
          <w:bCs/>
          <w:color w:val="000000"/>
          <w:sz w:val="22"/>
          <w:szCs w:val="22"/>
        </w:rPr>
        <w:t xml:space="preserve"> recorded the same level of growth rate </w:t>
      </w:r>
      <w:r w:rsidRPr="00E8232F">
        <w:rPr>
          <w:bCs/>
          <w:color w:val="000000"/>
          <w:sz w:val="22"/>
          <w:szCs w:val="22"/>
        </w:rPr>
        <w:t>(</w:t>
      </w:r>
      <w:r w:rsidR="00046BAA">
        <w:rPr>
          <w:bCs/>
          <w:color w:val="000000"/>
          <w:sz w:val="22"/>
          <w:szCs w:val="22"/>
        </w:rPr>
        <w:t>7.5</w:t>
      </w:r>
      <w:r w:rsidRPr="00E8232F">
        <w:rPr>
          <w:bCs/>
          <w:color w:val="000000"/>
          <w:sz w:val="22"/>
          <w:szCs w:val="22"/>
        </w:rPr>
        <w:t>%)</w:t>
      </w:r>
      <w:r w:rsidR="00046BAA">
        <w:rPr>
          <w:bCs/>
          <w:color w:val="000000"/>
          <w:sz w:val="22"/>
          <w:szCs w:val="22"/>
        </w:rPr>
        <w:t xml:space="preserve">. France </w:t>
      </w:r>
      <w:r w:rsidR="00BE24EC">
        <w:rPr>
          <w:color w:val="000000"/>
          <w:sz w:val="22"/>
          <w:szCs w:val="22"/>
        </w:rPr>
        <w:t xml:space="preserve">recorded an asset growth of </w:t>
      </w:r>
      <w:r w:rsidR="00046BAA">
        <w:rPr>
          <w:color w:val="000000"/>
          <w:sz w:val="22"/>
          <w:szCs w:val="22"/>
        </w:rPr>
        <w:t>6.2</w:t>
      </w:r>
      <w:r w:rsidR="00BE24EC">
        <w:rPr>
          <w:color w:val="000000"/>
          <w:sz w:val="22"/>
          <w:szCs w:val="22"/>
        </w:rPr>
        <w:t xml:space="preserve"> percent</w:t>
      </w:r>
      <w:r w:rsidR="00046BAA">
        <w:rPr>
          <w:color w:val="000000"/>
          <w:sz w:val="22"/>
          <w:szCs w:val="22"/>
        </w:rPr>
        <w:t>.</w:t>
      </w:r>
    </w:p>
    <w:p w14:paraId="5C15D709" w14:textId="61D51C4A" w:rsidR="00046BAA" w:rsidRDefault="00046BAA">
      <w:pPr>
        <w:pStyle w:val="FootnoteText"/>
        <w:jc w:val="both"/>
        <w:rPr>
          <w:bCs/>
          <w:color w:val="000000"/>
          <w:sz w:val="22"/>
          <w:szCs w:val="22"/>
        </w:rPr>
      </w:pPr>
    </w:p>
    <w:p w14:paraId="6E6D7620" w14:textId="5250FDE0" w:rsidR="003663AB" w:rsidRDefault="00870154" w:rsidP="003663AB">
      <w:pPr>
        <w:pStyle w:val="FootnoteText"/>
        <w:jc w:val="both"/>
        <w:rPr>
          <w:bCs/>
          <w:sz w:val="22"/>
          <w:szCs w:val="22"/>
        </w:rPr>
      </w:pPr>
      <w:r>
        <w:rPr>
          <w:bCs/>
          <w:sz w:val="22"/>
          <w:szCs w:val="22"/>
        </w:rPr>
        <w:t>O</w:t>
      </w:r>
      <w:r w:rsidR="003663AB" w:rsidRPr="003663AB">
        <w:rPr>
          <w:bCs/>
          <w:sz w:val="22"/>
          <w:szCs w:val="22"/>
        </w:rPr>
        <w:t xml:space="preserve">ther countries in Western Europe also recorded </w:t>
      </w:r>
      <w:r w:rsidR="003663AB">
        <w:rPr>
          <w:bCs/>
          <w:sz w:val="22"/>
          <w:szCs w:val="22"/>
        </w:rPr>
        <w:t>in</w:t>
      </w:r>
      <w:r w:rsidR="003663AB" w:rsidRPr="003663AB">
        <w:rPr>
          <w:bCs/>
          <w:sz w:val="22"/>
          <w:szCs w:val="22"/>
        </w:rPr>
        <w:t xml:space="preserve">creases in net assets, </w:t>
      </w:r>
      <w:r w:rsidR="003663AB">
        <w:rPr>
          <w:bCs/>
          <w:sz w:val="22"/>
          <w:szCs w:val="22"/>
        </w:rPr>
        <w:t xml:space="preserve">with the largest increase in </w:t>
      </w:r>
      <w:r>
        <w:rPr>
          <w:bCs/>
          <w:sz w:val="22"/>
          <w:szCs w:val="22"/>
        </w:rPr>
        <w:t xml:space="preserve">the </w:t>
      </w:r>
      <w:r w:rsidR="003663AB">
        <w:rPr>
          <w:bCs/>
          <w:sz w:val="22"/>
          <w:szCs w:val="22"/>
        </w:rPr>
        <w:t>Netherlands (11.6%), followed by Switzerland (11.1%)</w:t>
      </w:r>
      <w:r w:rsidR="00BE24EC">
        <w:rPr>
          <w:bCs/>
          <w:sz w:val="22"/>
          <w:szCs w:val="22"/>
        </w:rPr>
        <w:t xml:space="preserve"> and</w:t>
      </w:r>
      <w:r w:rsidR="003663AB">
        <w:rPr>
          <w:bCs/>
          <w:sz w:val="22"/>
          <w:szCs w:val="22"/>
        </w:rPr>
        <w:t xml:space="preserve"> Belgium (6.7%)</w:t>
      </w:r>
      <w:r w:rsidR="00BE24EC">
        <w:rPr>
          <w:bCs/>
          <w:sz w:val="22"/>
          <w:szCs w:val="22"/>
        </w:rPr>
        <w:t xml:space="preserve">. </w:t>
      </w:r>
      <w:r w:rsidR="00046BAA" w:rsidRPr="00046BAA">
        <w:rPr>
          <w:bCs/>
          <w:sz w:val="22"/>
          <w:szCs w:val="22"/>
        </w:rPr>
        <w:t xml:space="preserve">The Nordic countries also experienced </w:t>
      </w:r>
      <w:r>
        <w:rPr>
          <w:bCs/>
          <w:sz w:val="22"/>
          <w:szCs w:val="22"/>
        </w:rPr>
        <w:t xml:space="preserve">solid </w:t>
      </w:r>
      <w:r w:rsidR="00046BAA" w:rsidRPr="00046BAA">
        <w:rPr>
          <w:bCs/>
          <w:sz w:val="22"/>
          <w:szCs w:val="22"/>
        </w:rPr>
        <w:t>net asset growth in Q1 201</w:t>
      </w:r>
      <w:r w:rsidR="003663AB">
        <w:rPr>
          <w:bCs/>
          <w:sz w:val="22"/>
          <w:szCs w:val="22"/>
        </w:rPr>
        <w:t>9</w:t>
      </w:r>
      <w:r>
        <w:rPr>
          <w:bCs/>
          <w:sz w:val="22"/>
          <w:szCs w:val="22"/>
        </w:rPr>
        <w:t xml:space="preserve">, with strong growth in </w:t>
      </w:r>
      <w:r w:rsidR="00046BAA" w:rsidRPr="00046BAA">
        <w:rPr>
          <w:bCs/>
          <w:sz w:val="22"/>
          <w:szCs w:val="22"/>
        </w:rPr>
        <w:t>Sweden (</w:t>
      </w:r>
      <w:r w:rsidR="003663AB">
        <w:rPr>
          <w:bCs/>
          <w:sz w:val="22"/>
          <w:szCs w:val="22"/>
        </w:rPr>
        <w:t>10.9</w:t>
      </w:r>
      <w:r w:rsidR="00046BAA" w:rsidRPr="00046BAA">
        <w:rPr>
          <w:bCs/>
          <w:sz w:val="22"/>
          <w:szCs w:val="22"/>
        </w:rPr>
        <w:t>%), Norway (</w:t>
      </w:r>
      <w:r w:rsidR="003663AB">
        <w:rPr>
          <w:bCs/>
          <w:sz w:val="22"/>
          <w:szCs w:val="22"/>
        </w:rPr>
        <w:t>10.8</w:t>
      </w:r>
      <w:r w:rsidR="00046BAA" w:rsidRPr="00046BAA">
        <w:rPr>
          <w:bCs/>
          <w:sz w:val="22"/>
          <w:szCs w:val="22"/>
        </w:rPr>
        <w:t>%)</w:t>
      </w:r>
      <w:r>
        <w:rPr>
          <w:bCs/>
          <w:sz w:val="22"/>
          <w:szCs w:val="22"/>
        </w:rPr>
        <w:t xml:space="preserve"> and</w:t>
      </w:r>
      <w:r w:rsidR="003663AB">
        <w:rPr>
          <w:bCs/>
          <w:sz w:val="22"/>
          <w:szCs w:val="22"/>
        </w:rPr>
        <w:t xml:space="preserve"> </w:t>
      </w:r>
      <w:r w:rsidR="003663AB" w:rsidRPr="00046BAA">
        <w:rPr>
          <w:bCs/>
          <w:sz w:val="22"/>
          <w:szCs w:val="22"/>
        </w:rPr>
        <w:t>Denmark (</w:t>
      </w:r>
      <w:r w:rsidR="003663AB">
        <w:rPr>
          <w:bCs/>
          <w:sz w:val="22"/>
          <w:szCs w:val="22"/>
        </w:rPr>
        <w:t>7.1</w:t>
      </w:r>
      <w:r w:rsidR="003663AB" w:rsidRPr="00046BAA">
        <w:rPr>
          <w:bCs/>
          <w:sz w:val="22"/>
          <w:szCs w:val="22"/>
        </w:rPr>
        <w:t>%)</w:t>
      </w:r>
      <w:r>
        <w:rPr>
          <w:bCs/>
          <w:sz w:val="22"/>
          <w:szCs w:val="22"/>
        </w:rPr>
        <w:t>.</w:t>
      </w:r>
      <w:r w:rsidR="003663AB">
        <w:rPr>
          <w:bCs/>
          <w:sz w:val="22"/>
          <w:szCs w:val="22"/>
        </w:rPr>
        <w:t xml:space="preserve"> </w:t>
      </w:r>
      <w:r w:rsidR="00046BAA" w:rsidRPr="00046BAA">
        <w:rPr>
          <w:bCs/>
          <w:sz w:val="22"/>
          <w:szCs w:val="22"/>
        </w:rPr>
        <w:t xml:space="preserve">In Southern Europe, </w:t>
      </w:r>
      <w:r w:rsidR="00A52B69">
        <w:rPr>
          <w:bCs/>
          <w:sz w:val="22"/>
          <w:szCs w:val="22"/>
        </w:rPr>
        <w:t>large</w:t>
      </w:r>
      <w:r w:rsidR="00046BAA" w:rsidRPr="00046BAA">
        <w:rPr>
          <w:bCs/>
          <w:sz w:val="22"/>
          <w:szCs w:val="22"/>
        </w:rPr>
        <w:t xml:space="preserve"> net asset growth was seen in </w:t>
      </w:r>
      <w:r w:rsidR="003663AB" w:rsidRPr="00046BAA">
        <w:rPr>
          <w:bCs/>
          <w:sz w:val="22"/>
          <w:szCs w:val="22"/>
        </w:rPr>
        <w:t>Cyprus</w:t>
      </w:r>
      <w:r w:rsidR="00046BAA" w:rsidRPr="00046BAA">
        <w:rPr>
          <w:bCs/>
          <w:sz w:val="22"/>
          <w:szCs w:val="22"/>
        </w:rPr>
        <w:t xml:space="preserve"> (</w:t>
      </w:r>
      <w:r w:rsidR="003663AB">
        <w:rPr>
          <w:bCs/>
          <w:sz w:val="22"/>
          <w:szCs w:val="22"/>
        </w:rPr>
        <w:t>8.1</w:t>
      </w:r>
      <w:r w:rsidR="00046BAA" w:rsidRPr="00046BAA">
        <w:rPr>
          <w:bCs/>
          <w:sz w:val="22"/>
          <w:szCs w:val="22"/>
        </w:rPr>
        <w:t>%),</w:t>
      </w:r>
      <w:r>
        <w:rPr>
          <w:bCs/>
          <w:sz w:val="22"/>
          <w:szCs w:val="22"/>
        </w:rPr>
        <w:t xml:space="preserve"> </w:t>
      </w:r>
      <w:r w:rsidR="00046BAA" w:rsidRPr="00046BAA">
        <w:rPr>
          <w:bCs/>
          <w:sz w:val="22"/>
          <w:szCs w:val="22"/>
        </w:rPr>
        <w:t>followed by Malta (</w:t>
      </w:r>
      <w:r w:rsidR="003663AB">
        <w:rPr>
          <w:bCs/>
          <w:sz w:val="22"/>
          <w:szCs w:val="22"/>
        </w:rPr>
        <w:t>7</w:t>
      </w:r>
      <w:r w:rsidR="00046BAA" w:rsidRPr="00046BAA">
        <w:rPr>
          <w:bCs/>
          <w:sz w:val="22"/>
          <w:szCs w:val="22"/>
        </w:rPr>
        <w:t>.8%)</w:t>
      </w:r>
      <w:r>
        <w:rPr>
          <w:bCs/>
          <w:sz w:val="22"/>
          <w:szCs w:val="22"/>
        </w:rPr>
        <w:t xml:space="preserve"> and</w:t>
      </w:r>
      <w:r w:rsidR="00046BAA" w:rsidRPr="00046BAA">
        <w:rPr>
          <w:bCs/>
          <w:sz w:val="22"/>
          <w:szCs w:val="22"/>
        </w:rPr>
        <w:t xml:space="preserve"> </w:t>
      </w:r>
      <w:r w:rsidR="003663AB" w:rsidRPr="00046BAA">
        <w:rPr>
          <w:bCs/>
          <w:sz w:val="22"/>
          <w:szCs w:val="22"/>
        </w:rPr>
        <w:t>Greece (</w:t>
      </w:r>
      <w:r w:rsidR="003663AB">
        <w:rPr>
          <w:bCs/>
          <w:sz w:val="22"/>
          <w:szCs w:val="22"/>
        </w:rPr>
        <w:t>6</w:t>
      </w:r>
      <w:r w:rsidR="003663AB" w:rsidRPr="00046BAA">
        <w:rPr>
          <w:bCs/>
          <w:sz w:val="22"/>
          <w:szCs w:val="22"/>
        </w:rPr>
        <w:t>.9%)</w:t>
      </w:r>
      <w:r w:rsidR="003663AB">
        <w:rPr>
          <w:bCs/>
          <w:sz w:val="22"/>
          <w:szCs w:val="22"/>
        </w:rPr>
        <w:t>.</w:t>
      </w:r>
      <w:r w:rsidR="00046BAA" w:rsidRPr="00046BAA">
        <w:rPr>
          <w:bCs/>
          <w:sz w:val="22"/>
          <w:szCs w:val="22"/>
        </w:rPr>
        <w:t xml:space="preserve"> </w:t>
      </w:r>
      <w:r w:rsidR="003663AB" w:rsidRPr="003663AB">
        <w:rPr>
          <w:bCs/>
          <w:sz w:val="22"/>
          <w:szCs w:val="22"/>
        </w:rPr>
        <w:t xml:space="preserve">In Central and Eastern Europe, large increases in net assets were recorded in </w:t>
      </w:r>
      <w:r w:rsidR="003663AB">
        <w:rPr>
          <w:bCs/>
          <w:sz w:val="22"/>
          <w:szCs w:val="22"/>
        </w:rPr>
        <w:t xml:space="preserve">Slovenia </w:t>
      </w:r>
      <w:r w:rsidR="003663AB" w:rsidRPr="003663AB">
        <w:rPr>
          <w:bCs/>
          <w:sz w:val="22"/>
          <w:szCs w:val="22"/>
        </w:rPr>
        <w:t>(</w:t>
      </w:r>
      <w:r w:rsidR="003663AB">
        <w:rPr>
          <w:bCs/>
          <w:sz w:val="22"/>
          <w:szCs w:val="22"/>
        </w:rPr>
        <w:t>9.7</w:t>
      </w:r>
      <w:r w:rsidR="003663AB" w:rsidRPr="003663AB">
        <w:rPr>
          <w:bCs/>
          <w:sz w:val="22"/>
          <w:szCs w:val="22"/>
        </w:rPr>
        <w:t>%)</w:t>
      </w:r>
      <w:r w:rsidR="003663AB">
        <w:rPr>
          <w:bCs/>
          <w:sz w:val="22"/>
          <w:szCs w:val="22"/>
        </w:rPr>
        <w:t xml:space="preserve"> </w:t>
      </w:r>
      <w:r w:rsidR="003663AB" w:rsidRPr="003663AB">
        <w:rPr>
          <w:bCs/>
          <w:sz w:val="22"/>
          <w:szCs w:val="22"/>
        </w:rPr>
        <w:t>and the Czech Republic (</w:t>
      </w:r>
      <w:r w:rsidR="003663AB">
        <w:rPr>
          <w:bCs/>
          <w:sz w:val="22"/>
          <w:szCs w:val="22"/>
        </w:rPr>
        <w:t>9.5</w:t>
      </w:r>
      <w:r w:rsidR="003663AB" w:rsidRPr="003663AB">
        <w:rPr>
          <w:bCs/>
          <w:sz w:val="22"/>
          <w:szCs w:val="22"/>
        </w:rPr>
        <w:t>%).</w:t>
      </w:r>
      <w:r w:rsidR="00164381">
        <w:rPr>
          <w:bCs/>
          <w:sz w:val="22"/>
          <w:szCs w:val="22"/>
        </w:rPr>
        <w:t xml:space="preserve"> </w:t>
      </w:r>
    </w:p>
    <w:p w14:paraId="18177C5E" w14:textId="77777777" w:rsidR="00870154" w:rsidRDefault="00870154" w:rsidP="003663AB">
      <w:pPr>
        <w:pStyle w:val="FootnoteText"/>
        <w:jc w:val="both"/>
        <w:rPr>
          <w:bCs/>
          <w:sz w:val="22"/>
          <w:szCs w:val="22"/>
        </w:rPr>
      </w:pPr>
    </w:p>
    <w:p w14:paraId="22875899" w14:textId="2A99E5E3" w:rsidR="00072669" w:rsidRPr="001B65E9" w:rsidRDefault="00886EDC" w:rsidP="00A855DA">
      <w:pPr>
        <w:pStyle w:val="FootnoteText"/>
        <w:jc w:val="center"/>
        <w:rPr>
          <w:b/>
          <w:bCs/>
          <w:sz w:val="28"/>
          <w:szCs w:val="28"/>
          <w14:shadow w14:blurRad="50800" w14:dist="38100" w14:dir="2700000" w14:sx="100000" w14:sy="100000" w14:kx="0" w14:ky="0" w14:algn="tl">
            <w14:srgbClr w14:val="000000">
              <w14:alpha w14:val="60000"/>
            </w14:srgbClr>
          </w14:shadow>
        </w:rPr>
      </w:pPr>
      <w:r w:rsidRPr="00886EDC">
        <w:rPr>
          <w:noProof/>
          <w:lang w:val="nl-BE" w:eastAsia="nl-BE"/>
        </w:rPr>
        <w:drawing>
          <wp:anchor distT="0" distB="0" distL="114300" distR="114300" simplePos="0" relativeHeight="251808768" behindDoc="0" locked="0" layoutInCell="1" allowOverlap="1" wp14:anchorId="6C2B589B" wp14:editId="009CD1EC">
            <wp:simplePos x="0" y="0"/>
            <wp:positionH relativeFrom="margin">
              <wp:align>center</wp:align>
            </wp:positionH>
            <wp:positionV relativeFrom="paragraph">
              <wp:posOffset>23514</wp:posOffset>
            </wp:positionV>
            <wp:extent cx="4457700" cy="65436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7700" cy="6543675"/>
                    </a:xfrm>
                    <a:prstGeom prst="rect">
                      <a:avLst/>
                    </a:prstGeom>
                    <a:noFill/>
                    <a:ln>
                      <a:noFill/>
                    </a:ln>
                  </pic:spPr>
                </pic:pic>
              </a:graphicData>
            </a:graphic>
          </wp:anchor>
        </w:drawing>
      </w:r>
      <w:r w:rsidR="00164381" w:rsidRPr="00164381">
        <w:t xml:space="preserve"> </w:t>
      </w:r>
      <w:r w:rsidR="00654E5B" w:rsidRPr="001B65E9">
        <w:rPr>
          <w:b/>
          <w:bCs/>
          <w:iCs/>
          <w:sz w:val="28"/>
          <w14:shadow w14:blurRad="50800" w14:dist="38100" w14:dir="2700000" w14:sx="100000" w14:sy="100000" w14:kx="0" w14:ky="0" w14:algn="tl">
            <w14:srgbClr w14:val="000000">
              <w14:alpha w14:val="60000"/>
            </w14:srgbClr>
          </w14:shadow>
        </w:rPr>
        <w:br w:type="page"/>
      </w:r>
      <w:r w:rsidR="00072669" w:rsidRPr="001B65E9">
        <w:rPr>
          <w:b/>
          <w:bCs/>
          <w:sz w:val="28"/>
          <w:szCs w:val="28"/>
          <w14:shadow w14:blurRad="50800" w14:dist="38100" w14:dir="2700000" w14:sx="100000" w14:sy="100000" w14:kx="0" w14:ky="0" w14:algn="tl">
            <w14:srgbClr w14:val="000000">
              <w14:alpha w14:val="60000"/>
            </w14:srgbClr>
          </w14:shadow>
        </w:rPr>
        <w:lastRenderedPageBreak/>
        <w:t>Trends in the AIF Market</w:t>
      </w:r>
    </w:p>
    <w:p w14:paraId="3D5E990F" w14:textId="77777777" w:rsidR="00072669" w:rsidRPr="001B65E9" w:rsidRDefault="00072669" w:rsidP="00072669">
      <w:pPr>
        <w:pStyle w:val="Footer"/>
        <w:jc w:val="center"/>
        <w:outlineLvl w:val="0"/>
        <w:rPr>
          <w:b/>
          <w:bCs/>
          <w:i/>
          <w:iCs/>
          <w:sz w:val="28"/>
          <w:szCs w:val="28"/>
          <w:lang w:val="en-US"/>
          <w14:shadow w14:blurRad="50800" w14:dist="38100" w14:dir="2700000" w14:sx="100000" w14:sy="100000" w14:kx="0" w14:ky="0" w14:algn="tl">
            <w14:srgbClr w14:val="000000">
              <w14:alpha w14:val="60000"/>
            </w14:srgbClr>
          </w14:shadow>
        </w:rPr>
      </w:pPr>
      <w:r w:rsidRPr="001B65E9">
        <w:rPr>
          <w:b/>
          <w:bCs/>
          <w:i/>
          <w:iCs/>
          <w:sz w:val="28"/>
          <w:szCs w:val="28"/>
          <w:lang w:val="en-US"/>
          <w14:shadow w14:blurRad="50800" w14:dist="38100" w14:dir="2700000" w14:sx="100000" w14:sy="100000" w14:kx="0" w14:ky="0" w14:algn="tl">
            <w14:srgbClr w14:val="000000">
              <w14:alpha w14:val="60000"/>
            </w14:srgbClr>
          </w14:shadow>
        </w:rPr>
        <w:t>Net Sales by Investment Type</w:t>
      </w:r>
    </w:p>
    <w:p w14:paraId="7122A61E" w14:textId="77777777" w:rsidR="00072669" w:rsidRDefault="00072669" w:rsidP="00072669">
      <w:pPr>
        <w:pStyle w:val="Footer"/>
        <w:tabs>
          <w:tab w:val="left" w:pos="720"/>
          <w:tab w:val="left" w:pos="4320"/>
        </w:tabs>
        <w:spacing w:line="260" w:lineRule="exact"/>
        <w:jc w:val="both"/>
        <w:rPr>
          <w:sz w:val="22"/>
          <w:szCs w:val="22"/>
          <w:lang w:val="en-US"/>
        </w:rPr>
      </w:pPr>
    </w:p>
    <w:p w14:paraId="594BCCA6" w14:textId="1D591609" w:rsidR="00072669" w:rsidRDefault="002B5C1C" w:rsidP="00072669">
      <w:pPr>
        <w:pStyle w:val="Footer"/>
        <w:tabs>
          <w:tab w:val="left" w:pos="720"/>
          <w:tab w:val="left" w:pos="4320"/>
        </w:tabs>
        <w:spacing w:line="260" w:lineRule="exact"/>
        <w:jc w:val="both"/>
        <w:rPr>
          <w:b/>
          <w:bCs/>
          <w:color w:val="0000FF"/>
          <w:sz w:val="22"/>
          <w:szCs w:val="22"/>
          <w:lang w:val="en-US"/>
        </w:rPr>
      </w:pPr>
      <w:r>
        <w:rPr>
          <w:b/>
          <w:bCs/>
          <w:color w:val="0000FF"/>
          <w:sz w:val="22"/>
          <w:szCs w:val="22"/>
          <w:lang w:val="en-US"/>
        </w:rPr>
        <w:t>AIF</w:t>
      </w:r>
      <w:r w:rsidR="00361684">
        <w:rPr>
          <w:b/>
          <w:bCs/>
          <w:color w:val="0000FF"/>
          <w:sz w:val="22"/>
          <w:szCs w:val="22"/>
          <w:lang w:val="en-US"/>
        </w:rPr>
        <w:t>s</w:t>
      </w:r>
      <w:r w:rsidR="00F6001A">
        <w:rPr>
          <w:b/>
          <w:bCs/>
          <w:color w:val="0000FF"/>
          <w:sz w:val="22"/>
          <w:szCs w:val="22"/>
          <w:lang w:val="en-US"/>
        </w:rPr>
        <w:t xml:space="preserve"> recorded net inflows of EUR </w:t>
      </w:r>
      <w:r w:rsidR="00ED4C83">
        <w:rPr>
          <w:b/>
          <w:bCs/>
          <w:color w:val="0000FF"/>
          <w:sz w:val="22"/>
          <w:szCs w:val="22"/>
          <w:lang w:val="en-US"/>
        </w:rPr>
        <w:t>27</w:t>
      </w:r>
      <w:r w:rsidR="0099458D">
        <w:rPr>
          <w:b/>
          <w:bCs/>
          <w:color w:val="0000FF"/>
          <w:sz w:val="22"/>
          <w:szCs w:val="22"/>
          <w:lang w:val="en-US"/>
        </w:rPr>
        <w:t xml:space="preserve"> </w:t>
      </w:r>
      <w:r w:rsidR="00072669">
        <w:rPr>
          <w:b/>
          <w:bCs/>
          <w:color w:val="0000FF"/>
          <w:sz w:val="22"/>
          <w:szCs w:val="22"/>
          <w:lang w:val="en-US"/>
        </w:rPr>
        <w:t xml:space="preserve">billion </w:t>
      </w:r>
      <w:r w:rsidR="003D3DEF">
        <w:rPr>
          <w:b/>
          <w:bCs/>
          <w:color w:val="0000FF"/>
          <w:sz w:val="22"/>
          <w:szCs w:val="22"/>
          <w:lang w:val="en-US"/>
        </w:rPr>
        <w:t xml:space="preserve">in </w:t>
      </w:r>
      <w:r w:rsidR="00FE7B3C">
        <w:rPr>
          <w:b/>
          <w:bCs/>
          <w:color w:val="0000FF"/>
          <w:sz w:val="22"/>
          <w:szCs w:val="22"/>
          <w:lang w:val="en-US"/>
        </w:rPr>
        <w:t>Q1 201</w:t>
      </w:r>
      <w:r w:rsidR="00ED4C83">
        <w:rPr>
          <w:b/>
          <w:bCs/>
          <w:color w:val="0000FF"/>
          <w:sz w:val="22"/>
          <w:szCs w:val="22"/>
          <w:lang w:val="en-US"/>
        </w:rPr>
        <w:t>9</w:t>
      </w:r>
      <w:r w:rsidR="00F6001A">
        <w:rPr>
          <w:b/>
          <w:bCs/>
          <w:color w:val="0000FF"/>
          <w:sz w:val="22"/>
          <w:szCs w:val="22"/>
          <w:lang w:val="en-US"/>
        </w:rPr>
        <w:t xml:space="preserve">, </w:t>
      </w:r>
      <w:r w:rsidR="0099458D">
        <w:rPr>
          <w:b/>
          <w:bCs/>
          <w:color w:val="0000FF"/>
          <w:sz w:val="22"/>
          <w:szCs w:val="22"/>
          <w:lang w:val="en-US"/>
        </w:rPr>
        <w:t xml:space="preserve">up </w:t>
      </w:r>
      <w:r w:rsidR="00F6001A">
        <w:rPr>
          <w:b/>
          <w:bCs/>
          <w:color w:val="0000FF"/>
          <w:sz w:val="22"/>
          <w:szCs w:val="22"/>
          <w:lang w:val="en-US"/>
        </w:rPr>
        <w:t xml:space="preserve">from EUR </w:t>
      </w:r>
      <w:r w:rsidR="00ED4C83">
        <w:rPr>
          <w:b/>
          <w:bCs/>
          <w:color w:val="0000FF"/>
          <w:sz w:val="22"/>
          <w:szCs w:val="22"/>
          <w:lang w:val="en-US"/>
        </w:rPr>
        <w:t>23</w:t>
      </w:r>
      <w:r w:rsidR="00F6001A">
        <w:rPr>
          <w:b/>
          <w:bCs/>
          <w:color w:val="0000FF"/>
          <w:sz w:val="22"/>
          <w:szCs w:val="22"/>
          <w:lang w:val="en-US"/>
        </w:rPr>
        <w:t xml:space="preserve"> billion in the </w:t>
      </w:r>
      <w:r w:rsidR="0099458D">
        <w:rPr>
          <w:b/>
          <w:bCs/>
          <w:color w:val="0000FF"/>
          <w:sz w:val="22"/>
          <w:szCs w:val="22"/>
          <w:lang w:val="en-US"/>
        </w:rPr>
        <w:t xml:space="preserve">last </w:t>
      </w:r>
      <w:r w:rsidR="00FE7B3C">
        <w:rPr>
          <w:b/>
          <w:bCs/>
          <w:color w:val="0000FF"/>
          <w:sz w:val="22"/>
          <w:szCs w:val="22"/>
          <w:lang w:val="en-US"/>
        </w:rPr>
        <w:t>quarter of 201</w:t>
      </w:r>
      <w:r w:rsidR="00ED4C83">
        <w:rPr>
          <w:b/>
          <w:bCs/>
          <w:color w:val="0000FF"/>
          <w:sz w:val="22"/>
          <w:szCs w:val="22"/>
          <w:lang w:val="en-US"/>
        </w:rPr>
        <w:t>8</w:t>
      </w:r>
      <w:r w:rsidR="00072669">
        <w:rPr>
          <w:b/>
          <w:bCs/>
          <w:color w:val="0000FF"/>
          <w:sz w:val="22"/>
          <w:szCs w:val="22"/>
          <w:lang w:val="en-US"/>
        </w:rPr>
        <w:t>.</w:t>
      </w:r>
    </w:p>
    <w:p w14:paraId="4BF6F0F8" w14:textId="77777777" w:rsidR="00072669" w:rsidRDefault="00072669" w:rsidP="00072669">
      <w:pPr>
        <w:pStyle w:val="Footer"/>
        <w:tabs>
          <w:tab w:val="left" w:pos="720"/>
          <w:tab w:val="left" w:pos="4320"/>
        </w:tabs>
        <w:spacing w:line="260" w:lineRule="exact"/>
        <w:jc w:val="both"/>
        <w:rPr>
          <w:b/>
          <w:bCs/>
          <w:color w:val="0000FF"/>
          <w:sz w:val="22"/>
          <w:szCs w:val="22"/>
        </w:rPr>
      </w:pPr>
    </w:p>
    <w:p w14:paraId="12C20DA1" w14:textId="7E51236F" w:rsidR="00ED4C83" w:rsidRDefault="006A3986" w:rsidP="00ED4C83">
      <w:pPr>
        <w:pStyle w:val="Footer"/>
        <w:tabs>
          <w:tab w:val="left" w:pos="720"/>
          <w:tab w:val="left" w:pos="4320"/>
        </w:tabs>
        <w:spacing w:line="260" w:lineRule="exact"/>
        <w:jc w:val="both"/>
        <w:rPr>
          <w:bCs/>
          <w:color w:val="000000"/>
          <w:sz w:val="22"/>
          <w:szCs w:val="22"/>
        </w:rPr>
      </w:pPr>
      <w:r>
        <w:rPr>
          <w:bCs/>
          <w:color w:val="000000"/>
          <w:sz w:val="22"/>
          <w:szCs w:val="22"/>
        </w:rPr>
        <w:t>Long-term AIF</w:t>
      </w:r>
      <w:r w:rsidR="00361684">
        <w:rPr>
          <w:bCs/>
          <w:color w:val="000000"/>
          <w:sz w:val="22"/>
          <w:szCs w:val="22"/>
        </w:rPr>
        <w:t>s</w:t>
      </w:r>
      <w:r w:rsidR="00072669" w:rsidRPr="007D3A6C">
        <w:rPr>
          <w:bCs/>
          <w:color w:val="000000"/>
          <w:sz w:val="22"/>
          <w:szCs w:val="22"/>
        </w:rPr>
        <w:t xml:space="preserve"> </w:t>
      </w:r>
      <w:r w:rsidR="00317C68">
        <w:rPr>
          <w:bCs/>
          <w:color w:val="000000"/>
          <w:sz w:val="22"/>
          <w:szCs w:val="22"/>
        </w:rPr>
        <w:t xml:space="preserve">recorded net inflows of EUR </w:t>
      </w:r>
      <w:r w:rsidR="00ED4C83">
        <w:rPr>
          <w:bCs/>
          <w:color w:val="000000"/>
          <w:sz w:val="22"/>
          <w:szCs w:val="22"/>
        </w:rPr>
        <w:t>49</w:t>
      </w:r>
      <w:r w:rsidR="0099458D">
        <w:rPr>
          <w:bCs/>
          <w:color w:val="000000"/>
          <w:sz w:val="22"/>
          <w:szCs w:val="22"/>
        </w:rPr>
        <w:t xml:space="preserve"> </w:t>
      </w:r>
      <w:r>
        <w:rPr>
          <w:bCs/>
          <w:color w:val="000000"/>
          <w:sz w:val="22"/>
          <w:szCs w:val="22"/>
        </w:rPr>
        <w:t>billion</w:t>
      </w:r>
      <w:r w:rsidR="00317C68">
        <w:rPr>
          <w:bCs/>
          <w:color w:val="000000"/>
          <w:sz w:val="22"/>
          <w:szCs w:val="22"/>
        </w:rPr>
        <w:t xml:space="preserve">, </w:t>
      </w:r>
      <w:r w:rsidR="0099458D">
        <w:rPr>
          <w:bCs/>
          <w:color w:val="000000"/>
          <w:sz w:val="22"/>
          <w:szCs w:val="22"/>
        </w:rPr>
        <w:t xml:space="preserve">up </w:t>
      </w:r>
      <w:r w:rsidR="00317C68">
        <w:rPr>
          <w:bCs/>
          <w:color w:val="000000"/>
          <w:sz w:val="22"/>
          <w:szCs w:val="22"/>
        </w:rPr>
        <w:t>from</w:t>
      </w:r>
      <w:r w:rsidR="00072669" w:rsidRPr="00A7353F">
        <w:rPr>
          <w:bCs/>
          <w:color w:val="000000"/>
          <w:sz w:val="22"/>
          <w:szCs w:val="22"/>
        </w:rPr>
        <w:t xml:space="preserve"> net</w:t>
      </w:r>
      <w:r w:rsidR="00317C68">
        <w:rPr>
          <w:bCs/>
          <w:color w:val="000000"/>
          <w:sz w:val="22"/>
          <w:szCs w:val="22"/>
        </w:rPr>
        <w:t xml:space="preserve"> in</w:t>
      </w:r>
      <w:r w:rsidR="00072669">
        <w:rPr>
          <w:bCs/>
          <w:color w:val="000000"/>
          <w:sz w:val="22"/>
          <w:szCs w:val="22"/>
        </w:rPr>
        <w:t>flows</w:t>
      </w:r>
      <w:r w:rsidR="00072669" w:rsidRPr="00A7353F">
        <w:rPr>
          <w:bCs/>
          <w:color w:val="000000"/>
          <w:sz w:val="22"/>
          <w:szCs w:val="22"/>
        </w:rPr>
        <w:t xml:space="preserve"> of EUR </w:t>
      </w:r>
      <w:r w:rsidR="00FE7B3C">
        <w:rPr>
          <w:bCs/>
          <w:color w:val="000000"/>
          <w:sz w:val="22"/>
          <w:szCs w:val="22"/>
        </w:rPr>
        <w:t>2</w:t>
      </w:r>
      <w:r w:rsidR="00ED4C83">
        <w:rPr>
          <w:bCs/>
          <w:color w:val="000000"/>
          <w:sz w:val="22"/>
          <w:szCs w:val="22"/>
        </w:rPr>
        <w:t>6</w:t>
      </w:r>
      <w:r w:rsidR="0099458D" w:rsidRPr="00A7353F">
        <w:rPr>
          <w:bCs/>
          <w:color w:val="000000"/>
          <w:sz w:val="22"/>
          <w:szCs w:val="22"/>
        </w:rPr>
        <w:t xml:space="preserve"> </w:t>
      </w:r>
      <w:r w:rsidR="00072669" w:rsidRPr="00A7353F">
        <w:rPr>
          <w:bCs/>
          <w:color w:val="000000"/>
          <w:sz w:val="22"/>
          <w:szCs w:val="22"/>
        </w:rPr>
        <w:t xml:space="preserve">billion in </w:t>
      </w:r>
      <w:r w:rsidR="0099458D">
        <w:rPr>
          <w:bCs/>
          <w:color w:val="000000"/>
          <w:sz w:val="22"/>
          <w:szCs w:val="22"/>
        </w:rPr>
        <w:t>Q4</w:t>
      </w:r>
      <w:r w:rsidR="0099458D" w:rsidRPr="00A7353F">
        <w:rPr>
          <w:bCs/>
          <w:color w:val="000000"/>
          <w:sz w:val="22"/>
          <w:szCs w:val="22"/>
        </w:rPr>
        <w:t xml:space="preserve"> </w:t>
      </w:r>
      <w:r w:rsidR="00072669" w:rsidRPr="00A7353F">
        <w:rPr>
          <w:bCs/>
          <w:color w:val="000000"/>
          <w:sz w:val="22"/>
          <w:szCs w:val="22"/>
        </w:rPr>
        <w:t>201</w:t>
      </w:r>
      <w:r w:rsidR="00ED4C83">
        <w:rPr>
          <w:bCs/>
          <w:color w:val="000000"/>
          <w:sz w:val="22"/>
          <w:szCs w:val="22"/>
        </w:rPr>
        <w:t>8</w:t>
      </w:r>
      <w:r w:rsidR="00072669" w:rsidRPr="00A7353F">
        <w:rPr>
          <w:bCs/>
          <w:color w:val="000000"/>
          <w:sz w:val="22"/>
          <w:szCs w:val="22"/>
        </w:rPr>
        <w:t xml:space="preserve">. </w:t>
      </w:r>
      <w:r w:rsidR="00C24E44">
        <w:rPr>
          <w:bCs/>
          <w:color w:val="000000"/>
          <w:sz w:val="22"/>
          <w:szCs w:val="22"/>
        </w:rPr>
        <w:t>E</w:t>
      </w:r>
      <w:r w:rsidR="00930A0B">
        <w:rPr>
          <w:bCs/>
          <w:color w:val="000000"/>
          <w:sz w:val="22"/>
          <w:szCs w:val="22"/>
        </w:rPr>
        <w:t xml:space="preserve">quity funds </w:t>
      </w:r>
      <w:r w:rsidR="00ED4C83">
        <w:rPr>
          <w:bCs/>
          <w:color w:val="000000"/>
          <w:sz w:val="22"/>
          <w:szCs w:val="22"/>
        </w:rPr>
        <w:t xml:space="preserve">registered net outflows of EUR 11 billion, compared to net inflows of 4 billion in Q4 2018. </w:t>
      </w:r>
      <w:r w:rsidR="00ED4C83" w:rsidRPr="00352B56">
        <w:rPr>
          <w:bCs/>
          <w:color w:val="000000"/>
          <w:sz w:val="22"/>
          <w:szCs w:val="22"/>
        </w:rPr>
        <w:t xml:space="preserve">Net sales of multi-asset funds </w:t>
      </w:r>
      <w:r w:rsidR="00ED4C83">
        <w:rPr>
          <w:bCs/>
          <w:color w:val="000000"/>
          <w:sz w:val="22"/>
          <w:szCs w:val="22"/>
        </w:rPr>
        <w:t>de</w:t>
      </w:r>
      <w:r w:rsidR="00ED4C83" w:rsidRPr="00352B56">
        <w:rPr>
          <w:bCs/>
          <w:color w:val="000000"/>
          <w:sz w:val="22"/>
          <w:szCs w:val="22"/>
        </w:rPr>
        <w:t>creased from EUR 10 billion in Q4 201</w:t>
      </w:r>
      <w:r w:rsidR="00ED4C83">
        <w:rPr>
          <w:bCs/>
          <w:color w:val="000000"/>
          <w:sz w:val="22"/>
          <w:szCs w:val="22"/>
        </w:rPr>
        <w:t>8</w:t>
      </w:r>
      <w:r w:rsidR="00ED4C83" w:rsidRPr="00352B56">
        <w:rPr>
          <w:bCs/>
          <w:color w:val="000000"/>
          <w:sz w:val="22"/>
          <w:szCs w:val="22"/>
        </w:rPr>
        <w:t xml:space="preserve"> to EUR </w:t>
      </w:r>
      <w:r w:rsidR="00ED4C83">
        <w:rPr>
          <w:bCs/>
          <w:color w:val="000000"/>
          <w:sz w:val="22"/>
          <w:szCs w:val="22"/>
        </w:rPr>
        <w:t>6</w:t>
      </w:r>
      <w:r w:rsidR="00ED4C83" w:rsidRPr="00352B56">
        <w:rPr>
          <w:bCs/>
          <w:color w:val="000000"/>
          <w:sz w:val="22"/>
          <w:szCs w:val="22"/>
        </w:rPr>
        <w:t xml:space="preserve"> billion in Q1 </w:t>
      </w:r>
      <w:r w:rsidR="00ED4C83">
        <w:rPr>
          <w:bCs/>
          <w:color w:val="000000"/>
          <w:sz w:val="22"/>
          <w:szCs w:val="22"/>
        </w:rPr>
        <w:t>2019. Bond</w:t>
      </w:r>
      <w:r w:rsidR="00ED4C83" w:rsidRPr="00ED4C83">
        <w:rPr>
          <w:bCs/>
          <w:color w:val="000000"/>
          <w:sz w:val="22"/>
          <w:szCs w:val="22"/>
        </w:rPr>
        <w:t xml:space="preserve"> funds saw a reversal in flows, from net </w:t>
      </w:r>
      <w:r w:rsidR="00ED4C83">
        <w:rPr>
          <w:bCs/>
          <w:color w:val="000000"/>
          <w:sz w:val="22"/>
          <w:szCs w:val="22"/>
        </w:rPr>
        <w:t>out</w:t>
      </w:r>
      <w:r w:rsidR="00ED4C83" w:rsidRPr="00ED4C83">
        <w:rPr>
          <w:bCs/>
          <w:color w:val="000000"/>
          <w:sz w:val="22"/>
          <w:szCs w:val="22"/>
        </w:rPr>
        <w:t xml:space="preserve">flows of EUR </w:t>
      </w:r>
      <w:r w:rsidR="00ED4C83">
        <w:rPr>
          <w:bCs/>
          <w:color w:val="000000"/>
          <w:sz w:val="22"/>
          <w:szCs w:val="22"/>
        </w:rPr>
        <w:t>2</w:t>
      </w:r>
      <w:r w:rsidR="00ED4C83" w:rsidRPr="00ED4C83">
        <w:rPr>
          <w:bCs/>
          <w:color w:val="000000"/>
          <w:sz w:val="22"/>
          <w:szCs w:val="22"/>
        </w:rPr>
        <w:t xml:space="preserve"> billion in Q4 201</w:t>
      </w:r>
      <w:r w:rsidR="00ED4C83">
        <w:rPr>
          <w:bCs/>
          <w:color w:val="000000"/>
          <w:sz w:val="22"/>
          <w:szCs w:val="22"/>
        </w:rPr>
        <w:t>8</w:t>
      </w:r>
      <w:r w:rsidR="00ED4C83" w:rsidRPr="00ED4C83">
        <w:rPr>
          <w:bCs/>
          <w:color w:val="000000"/>
          <w:sz w:val="22"/>
          <w:szCs w:val="22"/>
        </w:rPr>
        <w:t xml:space="preserve"> to net </w:t>
      </w:r>
      <w:r w:rsidR="00ED4C83">
        <w:rPr>
          <w:bCs/>
          <w:color w:val="000000"/>
          <w:sz w:val="22"/>
          <w:szCs w:val="22"/>
        </w:rPr>
        <w:t>in</w:t>
      </w:r>
      <w:r w:rsidR="00ED4C83" w:rsidRPr="00ED4C83">
        <w:rPr>
          <w:bCs/>
          <w:color w:val="000000"/>
          <w:sz w:val="22"/>
          <w:szCs w:val="22"/>
        </w:rPr>
        <w:t xml:space="preserve">flows of EUR </w:t>
      </w:r>
      <w:r w:rsidR="00ED4C83">
        <w:rPr>
          <w:bCs/>
          <w:color w:val="000000"/>
          <w:sz w:val="22"/>
          <w:szCs w:val="22"/>
        </w:rPr>
        <w:t xml:space="preserve">3 </w:t>
      </w:r>
      <w:r w:rsidR="00ED4C83" w:rsidRPr="00ED4C83">
        <w:rPr>
          <w:bCs/>
          <w:color w:val="000000"/>
          <w:sz w:val="22"/>
          <w:szCs w:val="22"/>
        </w:rPr>
        <w:t>billion in Q1 201</w:t>
      </w:r>
      <w:r w:rsidR="00ED4C83">
        <w:rPr>
          <w:bCs/>
          <w:color w:val="000000"/>
          <w:sz w:val="22"/>
          <w:szCs w:val="22"/>
        </w:rPr>
        <w:t>9</w:t>
      </w:r>
      <w:r w:rsidR="00ED4C83" w:rsidRPr="00ED4C83">
        <w:rPr>
          <w:bCs/>
          <w:color w:val="000000"/>
          <w:sz w:val="22"/>
          <w:szCs w:val="22"/>
        </w:rPr>
        <w:t>.</w:t>
      </w:r>
      <w:r w:rsidR="00810838">
        <w:rPr>
          <w:bCs/>
          <w:color w:val="000000"/>
          <w:sz w:val="22"/>
          <w:szCs w:val="22"/>
        </w:rPr>
        <w:t xml:space="preserve"> </w:t>
      </w:r>
      <w:r w:rsidR="00810838" w:rsidRPr="00810838">
        <w:rPr>
          <w:bCs/>
          <w:color w:val="000000"/>
          <w:sz w:val="22"/>
          <w:szCs w:val="22"/>
        </w:rPr>
        <w:t xml:space="preserve">Net sales of other funds </w:t>
      </w:r>
      <w:r w:rsidR="00810838">
        <w:rPr>
          <w:bCs/>
          <w:color w:val="000000"/>
          <w:sz w:val="22"/>
          <w:szCs w:val="22"/>
        </w:rPr>
        <w:t>registered</w:t>
      </w:r>
      <w:r w:rsidR="00810838" w:rsidRPr="00810838">
        <w:rPr>
          <w:bCs/>
          <w:color w:val="000000"/>
          <w:sz w:val="22"/>
          <w:szCs w:val="22"/>
        </w:rPr>
        <w:t xml:space="preserve"> EUR </w:t>
      </w:r>
      <w:r w:rsidR="00810838">
        <w:rPr>
          <w:bCs/>
          <w:color w:val="000000"/>
          <w:sz w:val="22"/>
          <w:szCs w:val="22"/>
        </w:rPr>
        <w:t>46</w:t>
      </w:r>
      <w:r w:rsidR="00810838" w:rsidRPr="00810838">
        <w:rPr>
          <w:bCs/>
          <w:color w:val="000000"/>
          <w:sz w:val="22"/>
          <w:szCs w:val="22"/>
        </w:rPr>
        <w:t xml:space="preserve"> billion in Q</w:t>
      </w:r>
      <w:r w:rsidR="00810838">
        <w:rPr>
          <w:bCs/>
          <w:color w:val="000000"/>
          <w:sz w:val="22"/>
          <w:szCs w:val="22"/>
        </w:rPr>
        <w:t>1</w:t>
      </w:r>
      <w:r w:rsidR="00810838" w:rsidRPr="00810838">
        <w:rPr>
          <w:bCs/>
          <w:color w:val="000000"/>
          <w:sz w:val="22"/>
          <w:szCs w:val="22"/>
        </w:rPr>
        <w:t xml:space="preserve"> 201</w:t>
      </w:r>
      <w:r w:rsidR="00810838">
        <w:rPr>
          <w:bCs/>
          <w:color w:val="000000"/>
          <w:sz w:val="22"/>
          <w:szCs w:val="22"/>
        </w:rPr>
        <w:t>9, up from</w:t>
      </w:r>
      <w:r w:rsidR="00810838" w:rsidRPr="00810838">
        <w:rPr>
          <w:bCs/>
          <w:color w:val="000000"/>
          <w:sz w:val="22"/>
          <w:szCs w:val="22"/>
        </w:rPr>
        <w:t xml:space="preserve"> EUR </w:t>
      </w:r>
      <w:r w:rsidR="00810838">
        <w:rPr>
          <w:bCs/>
          <w:color w:val="000000"/>
          <w:sz w:val="22"/>
          <w:szCs w:val="22"/>
        </w:rPr>
        <w:t>7</w:t>
      </w:r>
      <w:r w:rsidR="00810838" w:rsidRPr="00810838">
        <w:rPr>
          <w:bCs/>
          <w:color w:val="000000"/>
          <w:sz w:val="22"/>
          <w:szCs w:val="22"/>
        </w:rPr>
        <w:t xml:space="preserve"> billion in Q4 2018.</w:t>
      </w:r>
    </w:p>
    <w:p w14:paraId="6BCF15C8" w14:textId="77777777" w:rsidR="00072669" w:rsidRDefault="00072669" w:rsidP="00072669">
      <w:pPr>
        <w:pStyle w:val="Footer"/>
        <w:tabs>
          <w:tab w:val="left" w:pos="720"/>
          <w:tab w:val="left" w:pos="4320"/>
        </w:tabs>
        <w:spacing w:line="260" w:lineRule="exact"/>
        <w:jc w:val="both"/>
        <w:rPr>
          <w:bCs/>
          <w:color w:val="000000"/>
          <w:sz w:val="22"/>
          <w:szCs w:val="22"/>
        </w:rPr>
      </w:pPr>
    </w:p>
    <w:p w14:paraId="02837AEB" w14:textId="38D3F988" w:rsidR="00072669" w:rsidRPr="00622197" w:rsidRDefault="00072669" w:rsidP="00622197">
      <w:pPr>
        <w:pStyle w:val="Footer"/>
        <w:tabs>
          <w:tab w:val="left" w:pos="720"/>
          <w:tab w:val="left" w:pos="4320"/>
        </w:tabs>
        <w:spacing w:line="260" w:lineRule="exact"/>
        <w:jc w:val="both"/>
        <w:rPr>
          <w:bCs/>
          <w:color w:val="000000"/>
          <w:sz w:val="22"/>
          <w:szCs w:val="22"/>
        </w:rPr>
      </w:pPr>
    </w:p>
    <w:p w14:paraId="090F3429" w14:textId="70A3AEC6" w:rsidR="00024985" w:rsidRPr="001B65E9" w:rsidRDefault="00164381" w:rsidP="00072669">
      <w:pPr>
        <w:pStyle w:val="Footer"/>
        <w:jc w:val="center"/>
        <w:outlineLvl w:val="0"/>
        <w:rPr>
          <w:b/>
          <w:bCs/>
          <w:iCs/>
          <w:sz w:val="28"/>
          <w14:shadow w14:blurRad="50800" w14:dist="38100" w14:dir="2700000" w14:sx="100000" w14:sy="100000" w14:kx="0" w14:ky="0" w14:algn="tl">
            <w14:srgbClr w14:val="000000">
              <w14:alpha w14:val="60000"/>
            </w14:srgbClr>
          </w14:shadow>
        </w:rPr>
      </w:pPr>
      <w:r>
        <w:rPr>
          <w:b/>
          <w:bCs/>
          <w:iCs/>
          <w:noProof/>
          <w:sz w:val="28"/>
          <w:szCs w:val="28"/>
          <w:lang w:val="nl-BE" w:eastAsia="nl-BE"/>
          <w14:shadow w14:blurRad="50800" w14:dist="38100" w14:dir="2700000" w14:sx="100000" w14:sy="100000" w14:kx="0" w14:ky="0" w14:algn="tl">
            <w14:srgbClr w14:val="000000">
              <w14:alpha w14:val="60000"/>
            </w14:srgbClr>
          </w14:shadow>
        </w:rPr>
        <w:drawing>
          <wp:anchor distT="0" distB="0" distL="114300" distR="114300" simplePos="0" relativeHeight="251807744" behindDoc="0" locked="0" layoutInCell="1" allowOverlap="1" wp14:anchorId="3CADFDE8" wp14:editId="5CB80793">
            <wp:simplePos x="0" y="0"/>
            <wp:positionH relativeFrom="column">
              <wp:posOffset>3085465</wp:posOffset>
            </wp:positionH>
            <wp:positionV relativeFrom="paragraph">
              <wp:posOffset>4622204</wp:posOffset>
            </wp:positionV>
            <wp:extent cx="3406400" cy="208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6400" cy="2088000"/>
                    </a:xfrm>
                    <a:prstGeom prst="rect">
                      <a:avLst/>
                    </a:prstGeom>
                    <a:noFill/>
                  </pic:spPr>
                </pic:pic>
              </a:graphicData>
            </a:graphic>
            <wp14:sizeRelH relativeFrom="margin">
              <wp14:pctWidth>0</wp14:pctWidth>
            </wp14:sizeRelH>
            <wp14:sizeRelV relativeFrom="margin">
              <wp14:pctHeight>0</wp14:pctHeight>
            </wp14:sizeRelV>
          </wp:anchor>
        </w:drawing>
      </w:r>
      <w:r w:rsidR="00703A4B">
        <w:rPr>
          <w:b/>
          <w:bCs/>
          <w:iCs/>
          <w:noProof/>
          <w:sz w:val="28"/>
          <w:szCs w:val="28"/>
          <w:lang w:val="nl-BE" w:eastAsia="nl-BE"/>
          <w14:shadow w14:blurRad="50800" w14:dist="38100" w14:dir="2700000" w14:sx="100000" w14:sy="100000" w14:kx="0" w14:ky="0" w14:algn="tl">
            <w14:srgbClr w14:val="000000">
              <w14:alpha w14:val="60000"/>
            </w14:srgbClr>
          </w14:shadow>
        </w:rPr>
        <w:drawing>
          <wp:anchor distT="0" distB="0" distL="114300" distR="114300" simplePos="0" relativeHeight="251796480" behindDoc="0" locked="0" layoutInCell="1" allowOverlap="1" wp14:anchorId="041C1E19" wp14:editId="4B44D743">
            <wp:simplePos x="0" y="0"/>
            <wp:positionH relativeFrom="margin">
              <wp:posOffset>-635</wp:posOffset>
            </wp:positionH>
            <wp:positionV relativeFrom="paragraph">
              <wp:posOffset>4622165</wp:posOffset>
            </wp:positionV>
            <wp:extent cx="3390265" cy="208788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0265" cy="2087880"/>
                    </a:xfrm>
                    <a:prstGeom prst="rect">
                      <a:avLst/>
                    </a:prstGeom>
                    <a:noFill/>
                  </pic:spPr>
                </pic:pic>
              </a:graphicData>
            </a:graphic>
            <wp14:sizeRelH relativeFrom="margin">
              <wp14:pctWidth>0</wp14:pctWidth>
            </wp14:sizeRelH>
            <wp14:sizeRelV relativeFrom="margin">
              <wp14:pctHeight>0</wp14:pctHeight>
            </wp14:sizeRelV>
          </wp:anchor>
        </w:drawing>
      </w:r>
      <w:r w:rsidR="00703A4B">
        <w:rPr>
          <w:b/>
          <w:bCs/>
          <w:iCs/>
          <w:noProof/>
          <w:sz w:val="28"/>
          <w:szCs w:val="28"/>
          <w:lang w:val="nl-BE" w:eastAsia="nl-BE"/>
          <w14:shadow w14:blurRad="50800" w14:dist="38100" w14:dir="2700000" w14:sx="100000" w14:sy="100000" w14:kx="0" w14:ky="0" w14:algn="tl">
            <w14:srgbClr w14:val="000000">
              <w14:alpha w14:val="60000"/>
            </w14:srgbClr>
          </w14:shadow>
        </w:rPr>
        <w:drawing>
          <wp:anchor distT="0" distB="0" distL="114300" distR="114300" simplePos="0" relativeHeight="251795456" behindDoc="0" locked="0" layoutInCell="1" allowOverlap="1" wp14:anchorId="597B4B97" wp14:editId="5EF29486">
            <wp:simplePos x="0" y="0"/>
            <wp:positionH relativeFrom="column">
              <wp:posOffset>3081655</wp:posOffset>
            </wp:positionH>
            <wp:positionV relativeFrom="paragraph">
              <wp:posOffset>2212340</wp:posOffset>
            </wp:positionV>
            <wp:extent cx="3431302" cy="208800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31302" cy="2088000"/>
                    </a:xfrm>
                    <a:prstGeom prst="rect">
                      <a:avLst/>
                    </a:prstGeom>
                    <a:noFill/>
                  </pic:spPr>
                </pic:pic>
              </a:graphicData>
            </a:graphic>
            <wp14:sizeRelH relativeFrom="margin">
              <wp14:pctWidth>0</wp14:pctWidth>
            </wp14:sizeRelH>
            <wp14:sizeRelV relativeFrom="margin">
              <wp14:pctHeight>0</wp14:pctHeight>
            </wp14:sizeRelV>
          </wp:anchor>
        </w:drawing>
      </w:r>
      <w:r w:rsidR="00DA1E3F">
        <w:rPr>
          <w:b/>
          <w:bCs/>
          <w:iCs/>
          <w:noProof/>
          <w:sz w:val="28"/>
          <w:szCs w:val="28"/>
          <w:lang w:val="nl-BE" w:eastAsia="nl-BE"/>
          <w14:shadow w14:blurRad="50800" w14:dist="38100" w14:dir="2700000" w14:sx="100000" w14:sy="100000" w14:kx="0" w14:ky="0" w14:algn="tl">
            <w14:srgbClr w14:val="000000">
              <w14:alpha w14:val="60000"/>
            </w14:srgbClr>
          </w14:shadow>
        </w:rPr>
        <w:drawing>
          <wp:anchor distT="0" distB="0" distL="114300" distR="114300" simplePos="0" relativeHeight="251793408" behindDoc="0" locked="0" layoutInCell="1" allowOverlap="1" wp14:anchorId="7993364A" wp14:editId="1BA5710A">
            <wp:simplePos x="0" y="0"/>
            <wp:positionH relativeFrom="margin">
              <wp:posOffset>3072765</wp:posOffset>
            </wp:positionH>
            <wp:positionV relativeFrom="paragraph">
              <wp:posOffset>40640</wp:posOffset>
            </wp:positionV>
            <wp:extent cx="3408534" cy="20880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08534" cy="2088000"/>
                    </a:xfrm>
                    <a:prstGeom prst="rect">
                      <a:avLst/>
                    </a:prstGeom>
                    <a:noFill/>
                  </pic:spPr>
                </pic:pic>
              </a:graphicData>
            </a:graphic>
            <wp14:sizeRelH relativeFrom="margin">
              <wp14:pctWidth>0</wp14:pctWidth>
            </wp14:sizeRelH>
            <wp14:sizeRelV relativeFrom="margin">
              <wp14:pctHeight>0</wp14:pctHeight>
            </wp14:sizeRelV>
          </wp:anchor>
        </w:drawing>
      </w:r>
      <w:r w:rsidR="00DA1E3F">
        <w:rPr>
          <w:b/>
          <w:bCs/>
          <w:iCs/>
          <w:noProof/>
          <w:sz w:val="28"/>
          <w:szCs w:val="28"/>
          <w:lang w:val="nl-BE" w:eastAsia="nl-BE"/>
          <w14:shadow w14:blurRad="50800" w14:dist="38100" w14:dir="2700000" w14:sx="100000" w14:sy="100000" w14:kx="0" w14:ky="0" w14:algn="tl">
            <w14:srgbClr w14:val="000000">
              <w14:alpha w14:val="60000"/>
            </w14:srgbClr>
          </w14:shadow>
        </w:rPr>
        <w:drawing>
          <wp:anchor distT="0" distB="0" distL="114300" distR="114300" simplePos="0" relativeHeight="251794432" behindDoc="0" locked="0" layoutInCell="1" allowOverlap="1" wp14:anchorId="6F588AED" wp14:editId="7C3741F2">
            <wp:simplePos x="0" y="0"/>
            <wp:positionH relativeFrom="margin">
              <wp:align>left</wp:align>
            </wp:positionH>
            <wp:positionV relativeFrom="paragraph">
              <wp:posOffset>2231390</wp:posOffset>
            </wp:positionV>
            <wp:extent cx="3433674" cy="20880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33674" cy="2088000"/>
                    </a:xfrm>
                    <a:prstGeom prst="rect">
                      <a:avLst/>
                    </a:prstGeom>
                    <a:noFill/>
                  </pic:spPr>
                </pic:pic>
              </a:graphicData>
            </a:graphic>
            <wp14:sizeRelH relativeFrom="margin">
              <wp14:pctWidth>0</wp14:pctWidth>
            </wp14:sizeRelH>
            <wp14:sizeRelV relativeFrom="margin">
              <wp14:pctHeight>0</wp14:pctHeight>
            </wp14:sizeRelV>
          </wp:anchor>
        </w:drawing>
      </w:r>
      <w:r w:rsidR="00DA1E3F">
        <w:rPr>
          <w:b/>
          <w:bCs/>
          <w:iCs/>
          <w:noProof/>
          <w:sz w:val="28"/>
          <w:szCs w:val="28"/>
          <w:lang w:val="nl-BE" w:eastAsia="nl-BE"/>
          <w14:shadow w14:blurRad="50800" w14:dist="38100" w14:dir="2700000" w14:sx="100000" w14:sy="100000" w14:kx="0" w14:ky="0" w14:algn="tl">
            <w14:srgbClr w14:val="000000">
              <w14:alpha w14:val="60000"/>
            </w14:srgbClr>
          </w14:shadow>
        </w:rPr>
        <w:drawing>
          <wp:anchor distT="0" distB="0" distL="114300" distR="114300" simplePos="0" relativeHeight="251792384" behindDoc="0" locked="0" layoutInCell="1" allowOverlap="1" wp14:anchorId="77AA68D5" wp14:editId="467C2F10">
            <wp:simplePos x="0" y="0"/>
            <wp:positionH relativeFrom="margin">
              <wp:posOffset>-635</wp:posOffset>
            </wp:positionH>
            <wp:positionV relativeFrom="paragraph">
              <wp:posOffset>12065</wp:posOffset>
            </wp:positionV>
            <wp:extent cx="3403600" cy="208788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0" cy="2087880"/>
                    </a:xfrm>
                    <a:prstGeom prst="rect">
                      <a:avLst/>
                    </a:prstGeom>
                    <a:noFill/>
                  </pic:spPr>
                </pic:pic>
              </a:graphicData>
            </a:graphic>
            <wp14:sizeRelH relativeFrom="margin">
              <wp14:pctWidth>0</wp14:pctWidth>
            </wp14:sizeRelH>
            <wp14:sizeRelV relativeFrom="margin">
              <wp14:pctHeight>0</wp14:pctHeight>
            </wp14:sizeRelV>
          </wp:anchor>
        </w:drawing>
      </w:r>
      <w:r w:rsidR="00072669" w:rsidRPr="001B65E9">
        <w:rPr>
          <w:b/>
          <w:bCs/>
          <w:iCs/>
          <w:sz w:val="28"/>
          <w:szCs w:val="28"/>
          <w:lang w:val="en-US"/>
          <w14:shadow w14:blurRad="50800" w14:dist="38100" w14:dir="2700000" w14:sx="100000" w14:sy="100000" w14:kx="0" w14:ky="0" w14:algn="tl">
            <w14:srgbClr w14:val="000000">
              <w14:alpha w14:val="60000"/>
            </w14:srgbClr>
          </w14:shadow>
        </w:rPr>
        <w:br w:type="page"/>
      </w:r>
      <w:r w:rsidR="00024985" w:rsidRPr="001B65E9">
        <w:rPr>
          <w:b/>
          <w:bCs/>
          <w:iCs/>
          <w:sz w:val="28"/>
          <w14:shadow w14:blurRad="50800" w14:dist="38100" w14:dir="2700000" w14:sx="100000" w14:sy="100000" w14:kx="0" w14:ky="0" w14:algn="tl">
            <w14:srgbClr w14:val="000000">
              <w14:alpha w14:val="60000"/>
            </w14:srgbClr>
          </w14:shadow>
        </w:rPr>
        <w:lastRenderedPageBreak/>
        <w:t>Trends in the AIF Market</w:t>
      </w:r>
    </w:p>
    <w:p w14:paraId="2750B183" w14:textId="77777777" w:rsidR="00024985" w:rsidRDefault="00024985" w:rsidP="00024985">
      <w:pPr>
        <w:pStyle w:val="Footer"/>
        <w:tabs>
          <w:tab w:val="clear" w:pos="4320"/>
          <w:tab w:val="clear" w:pos="8640"/>
          <w:tab w:val="left" w:pos="4185"/>
        </w:tabs>
        <w:spacing w:line="260" w:lineRule="exact"/>
        <w:jc w:val="center"/>
        <w:rPr>
          <w:i/>
          <w:iCs/>
          <w:sz w:val="22"/>
          <w:szCs w:val="22"/>
          <w:lang w:val="en-US"/>
        </w:rPr>
      </w:pPr>
      <w:r w:rsidRPr="001B65E9">
        <w:rPr>
          <w:b/>
          <w:bCs/>
          <w:i/>
          <w:iCs/>
          <w:sz w:val="28"/>
          <w:szCs w:val="28"/>
          <w:lang w:val="en-US"/>
          <w14:shadow w14:blurRad="50800" w14:dist="38100" w14:dir="2700000" w14:sx="100000" w14:sy="100000" w14:kx="0" w14:ky="0" w14:algn="tl">
            <w14:srgbClr w14:val="000000">
              <w14:alpha w14:val="60000"/>
            </w14:srgbClr>
          </w14:shadow>
        </w:rPr>
        <w:t xml:space="preserve">Net Sales by </w:t>
      </w:r>
      <w:r w:rsidR="0074146A" w:rsidRPr="001B65E9">
        <w:rPr>
          <w:b/>
          <w:bCs/>
          <w:i/>
          <w:iCs/>
          <w:sz w:val="28"/>
          <w:szCs w:val="28"/>
          <w:lang w:val="en-US"/>
          <w14:shadow w14:blurRad="50800" w14:dist="38100" w14:dir="2700000" w14:sx="100000" w14:sy="100000" w14:kx="0" w14:ky="0" w14:algn="tl">
            <w14:srgbClr w14:val="000000">
              <w14:alpha w14:val="60000"/>
            </w14:srgbClr>
          </w14:shadow>
        </w:rPr>
        <w:t>Country of Domiciliation and</w:t>
      </w:r>
      <w:r w:rsidR="005B1F0F" w:rsidRPr="001B65E9">
        <w:rPr>
          <w:b/>
          <w:bCs/>
          <w:i/>
          <w:iCs/>
          <w:sz w:val="28"/>
          <w:szCs w:val="28"/>
          <w:lang w:val="en-US"/>
          <w14:shadow w14:blurRad="50800" w14:dist="38100" w14:dir="2700000" w14:sx="100000" w14:sy="100000" w14:kx="0" w14:ky="0" w14:algn="tl">
            <w14:srgbClr w14:val="000000">
              <w14:alpha w14:val="60000"/>
            </w14:srgbClr>
          </w14:shadow>
        </w:rPr>
        <w:t xml:space="preserve"> </w:t>
      </w:r>
      <w:r w:rsidRPr="001B65E9">
        <w:rPr>
          <w:b/>
          <w:bCs/>
          <w:i/>
          <w:iCs/>
          <w:sz w:val="28"/>
          <w:szCs w:val="28"/>
          <w:lang w:val="en-US"/>
          <w14:shadow w14:blurRad="50800" w14:dist="38100" w14:dir="2700000" w14:sx="100000" w14:sy="100000" w14:kx="0" w14:ky="0" w14:algn="tl">
            <w14:srgbClr w14:val="000000">
              <w14:alpha w14:val="60000"/>
            </w14:srgbClr>
          </w14:shadow>
        </w:rPr>
        <w:t>Investment Type</w:t>
      </w:r>
    </w:p>
    <w:p w14:paraId="5DB6A3EE" w14:textId="77777777" w:rsidR="00024985" w:rsidRPr="001B65E9" w:rsidRDefault="00024985" w:rsidP="009D14F0">
      <w:pPr>
        <w:pStyle w:val="Footer"/>
        <w:jc w:val="center"/>
        <w:outlineLvl w:val="0"/>
        <w:rPr>
          <w:b/>
          <w:bCs/>
          <w:iCs/>
          <w:sz w:val="28"/>
          <w:lang w:val="en-US"/>
          <w14:shadow w14:blurRad="50800" w14:dist="38100" w14:dir="2700000" w14:sx="100000" w14:sy="100000" w14:kx="0" w14:ky="0" w14:algn="tl">
            <w14:srgbClr w14:val="000000">
              <w14:alpha w14:val="60000"/>
            </w14:srgbClr>
          </w14:shadow>
        </w:rPr>
      </w:pPr>
    </w:p>
    <w:p w14:paraId="42BBB8A4" w14:textId="0050CA83" w:rsidR="007F4395" w:rsidRDefault="00982A9B" w:rsidP="007C28E2">
      <w:pPr>
        <w:spacing w:line="260" w:lineRule="atLeast"/>
        <w:jc w:val="both"/>
        <w:rPr>
          <w:b/>
          <w:color w:val="0000FF"/>
          <w:sz w:val="22"/>
          <w:szCs w:val="22"/>
          <w:lang w:eastAsia="fr-FR"/>
        </w:rPr>
      </w:pPr>
      <w:r>
        <w:rPr>
          <w:b/>
          <w:color w:val="0000FF"/>
          <w:sz w:val="22"/>
          <w:szCs w:val="22"/>
          <w:lang w:eastAsia="fr-FR"/>
        </w:rPr>
        <w:t xml:space="preserve">Net sales of </w:t>
      </w:r>
      <w:r w:rsidR="00D67209">
        <w:rPr>
          <w:b/>
          <w:color w:val="0000FF"/>
          <w:sz w:val="22"/>
          <w:szCs w:val="22"/>
          <w:lang w:eastAsia="fr-FR"/>
        </w:rPr>
        <w:t>AIF</w:t>
      </w:r>
      <w:r w:rsidR="00361684">
        <w:rPr>
          <w:b/>
          <w:color w:val="0000FF"/>
          <w:sz w:val="22"/>
          <w:szCs w:val="22"/>
          <w:lang w:eastAsia="fr-FR"/>
        </w:rPr>
        <w:t>s</w:t>
      </w:r>
      <w:r>
        <w:rPr>
          <w:b/>
          <w:color w:val="0000FF"/>
          <w:sz w:val="22"/>
          <w:szCs w:val="22"/>
          <w:lang w:eastAsia="fr-FR"/>
        </w:rPr>
        <w:t xml:space="preserve"> totaled EUR </w:t>
      </w:r>
      <w:r w:rsidR="009F2435">
        <w:rPr>
          <w:b/>
          <w:color w:val="0000FF"/>
          <w:sz w:val="22"/>
          <w:szCs w:val="22"/>
          <w:lang w:eastAsia="fr-FR"/>
        </w:rPr>
        <w:t>27</w:t>
      </w:r>
      <w:r w:rsidR="00D53905">
        <w:rPr>
          <w:b/>
          <w:color w:val="0000FF"/>
          <w:sz w:val="22"/>
          <w:szCs w:val="22"/>
          <w:lang w:eastAsia="fr-FR"/>
        </w:rPr>
        <w:t xml:space="preserve"> </w:t>
      </w:r>
      <w:r w:rsidR="00600F2E">
        <w:rPr>
          <w:b/>
          <w:color w:val="0000FF"/>
          <w:sz w:val="22"/>
          <w:szCs w:val="22"/>
          <w:lang w:eastAsia="fr-FR"/>
        </w:rPr>
        <w:t>billion</w:t>
      </w:r>
      <w:r w:rsidR="00B75D41">
        <w:rPr>
          <w:b/>
          <w:color w:val="0000FF"/>
          <w:sz w:val="22"/>
          <w:szCs w:val="22"/>
          <w:lang w:eastAsia="fr-FR"/>
        </w:rPr>
        <w:t xml:space="preserve"> </w:t>
      </w:r>
      <w:r w:rsidR="004C0182">
        <w:rPr>
          <w:b/>
          <w:color w:val="0000FF"/>
          <w:sz w:val="22"/>
          <w:szCs w:val="22"/>
          <w:lang w:eastAsia="fr-FR"/>
        </w:rPr>
        <w:t xml:space="preserve">in </w:t>
      </w:r>
      <w:r w:rsidR="007B76ED">
        <w:rPr>
          <w:b/>
          <w:color w:val="0000FF"/>
          <w:sz w:val="22"/>
          <w:szCs w:val="22"/>
          <w:lang w:eastAsia="fr-FR"/>
        </w:rPr>
        <w:t>Q</w:t>
      </w:r>
      <w:r w:rsidR="004467BA">
        <w:rPr>
          <w:b/>
          <w:color w:val="0000FF"/>
          <w:sz w:val="22"/>
          <w:szCs w:val="22"/>
          <w:lang w:eastAsia="fr-FR"/>
        </w:rPr>
        <w:t>1</w:t>
      </w:r>
      <w:r w:rsidR="00D53905">
        <w:rPr>
          <w:b/>
          <w:color w:val="0000FF"/>
          <w:sz w:val="22"/>
          <w:szCs w:val="22"/>
          <w:lang w:eastAsia="fr-FR"/>
        </w:rPr>
        <w:t xml:space="preserve"> 201</w:t>
      </w:r>
      <w:r w:rsidR="009F2435">
        <w:rPr>
          <w:b/>
          <w:color w:val="0000FF"/>
          <w:sz w:val="22"/>
          <w:szCs w:val="22"/>
          <w:lang w:eastAsia="fr-FR"/>
        </w:rPr>
        <w:t>9</w:t>
      </w:r>
      <w:r w:rsidR="004C0182">
        <w:rPr>
          <w:b/>
          <w:color w:val="0000FF"/>
          <w:sz w:val="22"/>
          <w:szCs w:val="22"/>
          <w:lang w:eastAsia="fr-FR"/>
        </w:rPr>
        <w:t>,</w:t>
      </w:r>
      <w:r w:rsidR="007F4395">
        <w:rPr>
          <w:b/>
          <w:color w:val="0000FF"/>
          <w:sz w:val="22"/>
          <w:szCs w:val="22"/>
          <w:lang w:eastAsia="fr-FR"/>
        </w:rPr>
        <w:t xml:space="preserve"> </w:t>
      </w:r>
      <w:r w:rsidR="009B7F39">
        <w:rPr>
          <w:b/>
          <w:color w:val="0000FF"/>
          <w:sz w:val="22"/>
          <w:szCs w:val="22"/>
          <w:lang w:eastAsia="fr-FR"/>
        </w:rPr>
        <w:t>with f</w:t>
      </w:r>
      <w:r w:rsidR="009B7F39" w:rsidRPr="009B7F39">
        <w:rPr>
          <w:b/>
          <w:color w:val="0000FF"/>
          <w:sz w:val="22"/>
          <w:szCs w:val="22"/>
          <w:lang w:eastAsia="fr-FR"/>
        </w:rPr>
        <w:t>ifteen countries register</w:t>
      </w:r>
      <w:r w:rsidR="009B7F39">
        <w:rPr>
          <w:b/>
          <w:color w:val="0000FF"/>
          <w:sz w:val="22"/>
          <w:szCs w:val="22"/>
          <w:lang w:eastAsia="fr-FR"/>
        </w:rPr>
        <w:t>ing</w:t>
      </w:r>
      <w:r w:rsidR="009B7F39" w:rsidRPr="009B7F39">
        <w:rPr>
          <w:b/>
          <w:color w:val="0000FF"/>
          <w:sz w:val="22"/>
          <w:szCs w:val="22"/>
          <w:lang w:eastAsia="fr-FR"/>
        </w:rPr>
        <w:t xml:space="preserve"> net inflow</w:t>
      </w:r>
      <w:r w:rsidR="009B7F39">
        <w:rPr>
          <w:b/>
          <w:color w:val="0000FF"/>
          <w:sz w:val="22"/>
          <w:szCs w:val="22"/>
          <w:lang w:eastAsia="fr-FR"/>
        </w:rPr>
        <w:t>s.</w:t>
      </w:r>
    </w:p>
    <w:p w14:paraId="36A73F33" w14:textId="77777777" w:rsidR="00EB34D2" w:rsidRDefault="00EB34D2" w:rsidP="00643B31">
      <w:pPr>
        <w:spacing w:line="260" w:lineRule="atLeast"/>
        <w:jc w:val="both"/>
        <w:rPr>
          <w:sz w:val="22"/>
          <w:szCs w:val="22"/>
          <w:lang w:eastAsia="fr-FR"/>
        </w:rPr>
      </w:pPr>
    </w:p>
    <w:p w14:paraId="5E6AB7F5" w14:textId="013BA54C" w:rsidR="00EB34D2" w:rsidRPr="009252AA" w:rsidRDefault="00EB34D2" w:rsidP="00EB34D2">
      <w:pPr>
        <w:spacing w:line="260" w:lineRule="atLeast"/>
        <w:jc w:val="both"/>
        <w:rPr>
          <w:color w:val="000000"/>
          <w:sz w:val="22"/>
          <w:szCs w:val="22"/>
          <w:lang w:eastAsia="fr-FR"/>
        </w:rPr>
      </w:pPr>
      <w:r>
        <w:rPr>
          <w:color w:val="000000"/>
          <w:sz w:val="22"/>
          <w:szCs w:val="22"/>
          <w:lang w:eastAsia="fr-FR"/>
        </w:rPr>
        <w:t>In Q1 201</w:t>
      </w:r>
      <w:r w:rsidR="009F2435">
        <w:rPr>
          <w:color w:val="000000"/>
          <w:sz w:val="22"/>
          <w:szCs w:val="22"/>
          <w:lang w:eastAsia="fr-FR"/>
        </w:rPr>
        <w:t>9</w:t>
      </w:r>
      <w:r>
        <w:rPr>
          <w:color w:val="000000"/>
          <w:sz w:val="22"/>
          <w:szCs w:val="22"/>
          <w:lang w:eastAsia="fr-FR"/>
        </w:rPr>
        <w:t>, net sale</w:t>
      </w:r>
      <w:r w:rsidRPr="004C7355">
        <w:rPr>
          <w:color w:val="000000"/>
          <w:sz w:val="22"/>
          <w:szCs w:val="22"/>
          <w:lang w:eastAsia="fr-FR"/>
        </w:rPr>
        <w:t xml:space="preserve">s above EUR 1 billion were registered in </w:t>
      </w:r>
      <w:r w:rsidRPr="00A95915">
        <w:rPr>
          <w:color w:val="000000"/>
          <w:sz w:val="22"/>
          <w:szCs w:val="22"/>
          <w:lang w:eastAsia="fr-FR"/>
        </w:rPr>
        <w:t>Germany (EUR 26</w:t>
      </w:r>
      <w:r>
        <w:rPr>
          <w:color w:val="000000"/>
          <w:sz w:val="22"/>
          <w:szCs w:val="22"/>
          <w:lang w:eastAsia="fr-FR"/>
        </w:rPr>
        <w:t>.</w:t>
      </w:r>
      <w:r w:rsidR="00166049">
        <w:rPr>
          <w:color w:val="000000"/>
          <w:sz w:val="22"/>
          <w:szCs w:val="22"/>
          <w:lang w:eastAsia="fr-FR"/>
        </w:rPr>
        <w:t>0</w:t>
      </w:r>
      <w:r w:rsidRPr="00A95915">
        <w:rPr>
          <w:color w:val="000000"/>
          <w:sz w:val="22"/>
          <w:szCs w:val="22"/>
          <w:lang w:eastAsia="fr-FR"/>
        </w:rPr>
        <w:t xml:space="preserve"> billion), </w:t>
      </w:r>
      <w:r w:rsidR="00166049">
        <w:rPr>
          <w:color w:val="000000"/>
          <w:sz w:val="22"/>
          <w:szCs w:val="22"/>
          <w:lang w:eastAsia="fr-FR"/>
        </w:rPr>
        <w:t>Switzerland (EUR 24</w:t>
      </w:r>
      <w:r w:rsidR="00166049" w:rsidRPr="009252AA">
        <w:rPr>
          <w:color w:val="000000"/>
          <w:sz w:val="22"/>
          <w:szCs w:val="22"/>
          <w:lang w:eastAsia="fr-FR"/>
        </w:rPr>
        <w:t xml:space="preserve">.6 billion), </w:t>
      </w:r>
      <w:r w:rsidRPr="009252AA">
        <w:rPr>
          <w:color w:val="000000"/>
          <w:sz w:val="22"/>
          <w:szCs w:val="22"/>
          <w:lang w:eastAsia="fr-FR"/>
        </w:rPr>
        <w:t>Ireland (5.5 billion),</w:t>
      </w:r>
      <w:r w:rsidRPr="009252AA">
        <w:t xml:space="preserve"> </w:t>
      </w:r>
      <w:r w:rsidR="00166049" w:rsidRPr="009252AA">
        <w:t xml:space="preserve">Liechtenstein (EUR 2.5 billion) and </w:t>
      </w:r>
      <w:r w:rsidRPr="009252AA">
        <w:rPr>
          <w:color w:val="000000"/>
          <w:sz w:val="22"/>
          <w:szCs w:val="22"/>
          <w:lang w:eastAsia="fr-FR"/>
        </w:rPr>
        <w:t xml:space="preserve">Luxembourg (EUR </w:t>
      </w:r>
      <w:r w:rsidR="00166049" w:rsidRPr="009252AA">
        <w:rPr>
          <w:color w:val="000000"/>
          <w:sz w:val="22"/>
          <w:szCs w:val="22"/>
          <w:lang w:eastAsia="fr-FR"/>
        </w:rPr>
        <w:t>2.1</w:t>
      </w:r>
      <w:r w:rsidRPr="009252AA">
        <w:rPr>
          <w:color w:val="000000"/>
          <w:sz w:val="22"/>
          <w:szCs w:val="22"/>
          <w:lang w:eastAsia="fr-FR"/>
        </w:rPr>
        <w:t xml:space="preserve"> billion)</w:t>
      </w:r>
      <w:r w:rsidR="00166049" w:rsidRPr="009252AA">
        <w:rPr>
          <w:color w:val="000000"/>
          <w:sz w:val="22"/>
          <w:szCs w:val="22"/>
          <w:lang w:eastAsia="fr-FR"/>
        </w:rPr>
        <w:t>.</w:t>
      </w:r>
    </w:p>
    <w:p w14:paraId="68411712" w14:textId="241EEBCD" w:rsidR="00BE24EC" w:rsidRPr="009252AA" w:rsidRDefault="00BE24EC" w:rsidP="00EB34D2">
      <w:pPr>
        <w:spacing w:line="260" w:lineRule="atLeast"/>
        <w:jc w:val="both"/>
        <w:rPr>
          <w:color w:val="000000"/>
          <w:sz w:val="22"/>
          <w:szCs w:val="22"/>
          <w:lang w:eastAsia="fr-FR"/>
        </w:rPr>
      </w:pPr>
    </w:p>
    <w:p w14:paraId="5148E9BE" w14:textId="606373CF" w:rsidR="00BE24EC" w:rsidRPr="00BE24EC" w:rsidRDefault="00BE24EC" w:rsidP="00EB34D2">
      <w:pPr>
        <w:spacing w:line="260" w:lineRule="atLeast"/>
        <w:jc w:val="both"/>
        <w:rPr>
          <w:color w:val="000000"/>
          <w:sz w:val="22"/>
          <w:szCs w:val="22"/>
          <w:lang w:eastAsia="fr-FR"/>
        </w:rPr>
      </w:pPr>
      <w:r w:rsidRPr="009252AA">
        <w:rPr>
          <w:color w:val="000000"/>
          <w:sz w:val="22"/>
          <w:szCs w:val="22"/>
          <w:lang w:eastAsia="fr-FR"/>
        </w:rPr>
        <w:t>The Netherlands registered outflows of EUR 25 billion in Q1 2019, the largest quarterly withdrawal ever recorded for that country. The bulk of these net outflows were related to pension funds’ withdrawals from bond funds as a result of the restructuring of investment portfolios.</w:t>
      </w:r>
      <w:r w:rsidR="00120B7B">
        <w:rPr>
          <w:color w:val="000000"/>
          <w:sz w:val="22"/>
          <w:szCs w:val="22"/>
          <w:lang w:eastAsia="fr-FR"/>
        </w:rPr>
        <w:t xml:space="preserve"> </w:t>
      </w:r>
    </w:p>
    <w:p w14:paraId="3F202DDC" w14:textId="77777777" w:rsidR="00EB34D2" w:rsidRPr="00BE24EC" w:rsidRDefault="00EB34D2" w:rsidP="009D14F0">
      <w:pPr>
        <w:pStyle w:val="Footer"/>
        <w:jc w:val="center"/>
        <w:outlineLvl w:val="0"/>
        <w:rPr>
          <w:lang w:val="en-US"/>
        </w:rPr>
      </w:pPr>
    </w:p>
    <w:p w14:paraId="508C346D" w14:textId="2FFADF9D" w:rsidR="009D14F0" w:rsidRPr="001B65E9" w:rsidRDefault="00970114" w:rsidP="009D14F0">
      <w:pPr>
        <w:pStyle w:val="Footer"/>
        <w:jc w:val="center"/>
        <w:outlineLvl w:val="0"/>
        <w:rPr>
          <w:b/>
          <w:bCs/>
          <w:iCs/>
          <w:sz w:val="28"/>
          <w14:shadow w14:blurRad="50800" w14:dist="38100" w14:dir="2700000" w14:sx="100000" w14:sy="100000" w14:kx="0" w14:ky="0" w14:algn="tl">
            <w14:srgbClr w14:val="000000">
              <w14:alpha w14:val="60000"/>
            </w14:srgbClr>
          </w14:shadow>
        </w:rPr>
      </w:pPr>
      <w:r w:rsidRPr="00970114">
        <w:rPr>
          <w:noProof/>
          <w:lang w:val="nl-BE" w:eastAsia="nl-BE"/>
        </w:rPr>
        <w:drawing>
          <wp:anchor distT="0" distB="0" distL="114300" distR="114300" simplePos="0" relativeHeight="251786240" behindDoc="0" locked="0" layoutInCell="1" allowOverlap="1" wp14:anchorId="3789B69E" wp14:editId="4BEE4DB0">
            <wp:simplePos x="0" y="0"/>
            <wp:positionH relativeFrom="margin">
              <wp:align>right</wp:align>
            </wp:positionH>
            <wp:positionV relativeFrom="paragraph">
              <wp:posOffset>8890</wp:posOffset>
            </wp:positionV>
            <wp:extent cx="6263640" cy="4881880"/>
            <wp:effectExtent l="0" t="0" r="381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63640" cy="4881880"/>
                    </a:xfrm>
                    <a:prstGeom prst="rect">
                      <a:avLst/>
                    </a:prstGeom>
                    <a:noFill/>
                    <a:ln>
                      <a:noFill/>
                    </a:ln>
                  </pic:spPr>
                </pic:pic>
              </a:graphicData>
            </a:graphic>
          </wp:anchor>
        </w:drawing>
      </w:r>
      <w:r w:rsidR="007D0432">
        <w:br w:type="page"/>
      </w:r>
      <w:r w:rsidR="009D14F0" w:rsidRPr="001B65E9">
        <w:rPr>
          <w:b/>
          <w:bCs/>
          <w:iCs/>
          <w:sz w:val="28"/>
          <w14:shadow w14:blurRad="50800" w14:dist="38100" w14:dir="2700000" w14:sx="100000" w14:sy="100000" w14:kx="0" w14:ky="0" w14:algn="tl">
            <w14:srgbClr w14:val="000000">
              <w14:alpha w14:val="60000"/>
            </w14:srgbClr>
          </w14:shadow>
        </w:rPr>
        <w:lastRenderedPageBreak/>
        <w:t>Trends in the AIF Market</w:t>
      </w:r>
    </w:p>
    <w:p w14:paraId="30085BC7" w14:textId="77777777" w:rsidR="0091361F" w:rsidRPr="003519E6" w:rsidRDefault="0091361F" w:rsidP="0091361F">
      <w:pPr>
        <w:pStyle w:val="Footer"/>
        <w:jc w:val="center"/>
        <w:outlineLvl w:val="0"/>
        <w:rPr>
          <w:b/>
          <w:bCs/>
          <w:i/>
          <w:iCs/>
          <w:sz w:val="28"/>
          <w:szCs w:val="28"/>
          <w:lang w:val="en-US"/>
          <w14:shadow w14:blurRad="50800" w14:dist="38100" w14:dir="2700000" w14:sx="100000" w14:sy="100000" w14:kx="0" w14:ky="0" w14:algn="tl">
            <w14:srgbClr w14:val="000000">
              <w14:alpha w14:val="60000"/>
            </w14:srgbClr>
          </w14:shadow>
        </w:rPr>
      </w:pPr>
      <w:r w:rsidRPr="003519E6">
        <w:rPr>
          <w:b/>
          <w:bCs/>
          <w:i/>
          <w:iCs/>
          <w:sz w:val="28"/>
          <w:szCs w:val="28"/>
          <w:lang w:val="en-US"/>
          <w14:shadow w14:blurRad="50800" w14:dist="38100" w14:dir="2700000" w14:sx="100000" w14:sy="100000" w14:kx="0" w14:ky="0" w14:algn="tl">
            <w14:srgbClr w14:val="000000">
              <w14:alpha w14:val="60000"/>
            </w14:srgbClr>
          </w14:shadow>
        </w:rPr>
        <w:t>Net Assets and Number of Funds by Investment Type</w:t>
      </w:r>
    </w:p>
    <w:p w14:paraId="576C72E0" w14:textId="77777777" w:rsidR="009D14F0" w:rsidRPr="00EA222B" w:rsidRDefault="009D14F0" w:rsidP="009D14F0">
      <w:pPr>
        <w:pStyle w:val="Footer"/>
        <w:tabs>
          <w:tab w:val="left" w:pos="720"/>
          <w:tab w:val="left" w:pos="4320"/>
        </w:tabs>
        <w:spacing w:line="260" w:lineRule="exact"/>
        <w:jc w:val="both"/>
        <w:rPr>
          <w:color w:val="000000"/>
          <w:sz w:val="22"/>
          <w:szCs w:val="22"/>
          <w:lang w:val="en-US"/>
        </w:rPr>
      </w:pPr>
    </w:p>
    <w:p w14:paraId="767FD390" w14:textId="023E833A" w:rsidR="009D14F0" w:rsidRPr="00EA222B" w:rsidRDefault="009D14F0" w:rsidP="009D14F0">
      <w:pPr>
        <w:pStyle w:val="Footer"/>
        <w:tabs>
          <w:tab w:val="left" w:pos="720"/>
          <w:tab w:val="left" w:pos="4320"/>
        </w:tabs>
        <w:spacing w:line="260" w:lineRule="exact"/>
        <w:jc w:val="both"/>
        <w:rPr>
          <w:b/>
          <w:bCs/>
          <w:color w:val="0000FF"/>
          <w:sz w:val="22"/>
          <w:szCs w:val="22"/>
          <w:lang w:val="en-US"/>
        </w:rPr>
      </w:pPr>
      <w:r w:rsidRPr="00EA222B">
        <w:rPr>
          <w:b/>
          <w:bCs/>
          <w:color w:val="0000FF"/>
          <w:sz w:val="22"/>
          <w:szCs w:val="22"/>
          <w:lang w:val="en-US"/>
        </w:rPr>
        <w:t xml:space="preserve">Net assets of </w:t>
      </w:r>
      <w:r w:rsidR="00D67209">
        <w:rPr>
          <w:b/>
          <w:bCs/>
          <w:color w:val="0000FF"/>
          <w:sz w:val="22"/>
          <w:szCs w:val="22"/>
          <w:lang w:val="en-US"/>
        </w:rPr>
        <w:t>AIF</w:t>
      </w:r>
      <w:r w:rsidR="00361684">
        <w:rPr>
          <w:b/>
          <w:bCs/>
          <w:color w:val="0000FF"/>
          <w:sz w:val="22"/>
          <w:szCs w:val="22"/>
          <w:lang w:val="en-US"/>
        </w:rPr>
        <w:t>s</w:t>
      </w:r>
      <w:r w:rsidR="007C6A8B">
        <w:rPr>
          <w:b/>
          <w:bCs/>
          <w:color w:val="0000FF"/>
          <w:sz w:val="22"/>
          <w:szCs w:val="22"/>
          <w:lang w:val="en-US"/>
        </w:rPr>
        <w:t xml:space="preserve"> </w:t>
      </w:r>
      <w:r w:rsidR="00166049">
        <w:rPr>
          <w:b/>
          <w:bCs/>
          <w:color w:val="0000FF"/>
          <w:sz w:val="22"/>
          <w:szCs w:val="22"/>
          <w:lang w:val="en-US"/>
        </w:rPr>
        <w:t>in</w:t>
      </w:r>
      <w:r w:rsidR="009C315C">
        <w:rPr>
          <w:b/>
          <w:bCs/>
          <w:color w:val="0000FF"/>
          <w:sz w:val="22"/>
          <w:szCs w:val="22"/>
          <w:lang w:val="en-US"/>
        </w:rPr>
        <w:t xml:space="preserve">creased by </w:t>
      </w:r>
      <w:r w:rsidR="00166049">
        <w:rPr>
          <w:b/>
          <w:bCs/>
          <w:color w:val="0000FF"/>
          <w:sz w:val="22"/>
          <w:szCs w:val="22"/>
          <w:lang w:val="en-US"/>
        </w:rPr>
        <w:t>6.</w:t>
      </w:r>
      <w:r w:rsidR="007C6A8B">
        <w:rPr>
          <w:b/>
          <w:bCs/>
          <w:color w:val="0000FF"/>
          <w:sz w:val="22"/>
          <w:szCs w:val="22"/>
          <w:lang w:val="en-US"/>
        </w:rPr>
        <w:t>4</w:t>
      </w:r>
      <w:r w:rsidR="008B480B">
        <w:rPr>
          <w:b/>
          <w:bCs/>
          <w:color w:val="0000FF"/>
          <w:sz w:val="22"/>
          <w:szCs w:val="22"/>
          <w:lang w:val="en-US"/>
        </w:rPr>
        <w:t xml:space="preserve"> percent to </w:t>
      </w:r>
      <w:r w:rsidR="00DD12A5">
        <w:rPr>
          <w:b/>
          <w:bCs/>
          <w:color w:val="0000FF"/>
          <w:sz w:val="22"/>
          <w:szCs w:val="22"/>
          <w:lang w:val="en-US"/>
        </w:rPr>
        <w:t xml:space="preserve">reach </w:t>
      </w:r>
      <w:r w:rsidR="00127649">
        <w:rPr>
          <w:b/>
          <w:bCs/>
          <w:color w:val="0000FF"/>
          <w:sz w:val="22"/>
          <w:szCs w:val="22"/>
          <w:lang w:val="en-US"/>
        </w:rPr>
        <w:t xml:space="preserve">EUR </w:t>
      </w:r>
      <w:r w:rsidR="00166049">
        <w:rPr>
          <w:b/>
          <w:bCs/>
          <w:color w:val="0000FF"/>
          <w:sz w:val="22"/>
          <w:szCs w:val="22"/>
          <w:lang w:val="en-US"/>
        </w:rPr>
        <w:t>6,247</w:t>
      </w:r>
      <w:r w:rsidR="00C24149">
        <w:rPr>
          <w:b/>
          <w:bCs/>
          <w:color w:val="0000FF"/>
          <w:sz w:val="22"/>
          <w:szCs w:val="22"/>
          <w:lang w:val="en-US"/>
        </w:rPr>
        <w:t xml:space="preserve"> </w:t>
      </w:r>
      <w:r w:rsidR="00470BE2">
        <w:rPr>
          <w:b/>
          <w:bCs/>
          <w:color w:val="0000FF"/>
          <w:sz w:val="22"/>
          <w:szCs w:val="22"/>
          <w:lang w:val="en-US"/>
        </w:rPr>
        <w:t>billion</w:t>
      </w:r>
      <w:r w:rsidR="009C315C">
        <w:rPr>
          <w:b/>
          <w:bCs/>
          <w:color w:val="0000FF"/>
          <w:sz w:val="22"/>
          <w:szCs w:val="22"/>
          <w:lang w:val="en-US"/>
        </w:rPr>
        <w:t xml:space="preserve"> at end </w:t>
      </w:r>
      <w:r w:rsidR="00C24149">
        <w:rPr>
          <w:b/>
          <w:bCs/>
          <w:color w:val="0000FF"/>
          <w:sz w:val="22"/>
          <w:szCs w:val="22"/>
          <w:lang w:val="en-US"/>
        </w:rPr>
        <w:t xml:space="preserve">March </w:t>
      </w:r>
      <w:r w:rsidR="007C6A8B">
        <w:rPr>
          <w:b/>
          <w:bCs/>
          <w:color w:val="0000FF"/>
          <w:sz w:val="22"/>
          <w:szCs w:val="22"/>
          <w:lang w:val="en-US"/>
        </w:rPr>
        <w:t>201</w:t>
      </w:r>
      <w:r w:rsidR="00166049">
        <w:rPr>
          <w:b/>
          <w:bCs/>
          <w:color w:val="0000FF"/>
          <w:sz w:val="22"/>
          <w:szCs w:val="22"/>
          <w:lang w:val="en-US"/>
        </w:rPr>
        <w:t>9</w:t>
      </w:r>
      <w:r w:rsidR="008B480B">
        <w:rPr>
          <w:b/>
          <w:bCs/>
          <w:color w:val="0000FF"/>
          <w:sz w:val="22"/>
          <w:szCs w:val="22"/>
          <w:lang w:val="en-US"/>
        </w:rPr>
        <w:t>.</w:t>
      </w:r>
      <w:r w:rsidRPr="00EA222B">
        <w:rPr>
          <w:b/>
          <w:bCs/>
          <w:color w:val="0000FF"/>
          <w:sz w:val="22"/>
          <w:szCs w:val="22"/>
          <w:lang w:val="en-US"/>
        </w:rPr>
        <w:t xml:space="preserve"> </w:t>
      </w:r>
    </w:p>
    <w:p w14:paraId="6C633679" w14:textId="77777777" w:rsidR="00166049" w:rsidRDefault="00166049" w:rsidP="00166049">
      <w:pPr>
        <w:pStyle w:val="Footer"/>
        <w:tabs>
          <w:tab w:val="left" w:pos="720"/>
          <w:tab w:val="left" w:pos="4320"/>
        </w:tabs>
        <w:spacing w:line="260" w:lineRule="exact"/>
        <w:jc w:val="both"/>
        <w:rPr>
          <w:color w:val="000000"/>
          <w:sz w:val="22"/>
          <w:szCs w:val="22"/>
          <w:lang w:val="en-US"/>
        </w:rPr>
      </w:pPr>
    </w:p>
    <w:p w14:paraId="6D987676" w14:textId="12100E51" w:rsidR="00D021F0" w:rsidRDefault="00166049" w:rsidP="00F61856">
      <w:pPr>
        <w:pStyle w:val="Footer"/>
        <w:tabs>
          <w:tab w:val="left" w:pos="720"/>
          <w:tab w:val="left" w:pos="4320"/>
        </w:tabs>
        <w:spacing w:line="260" w:lineRule="exact"/>
        <w:jc w:val="both"/>
        <w:rPr>
          <w:color w:val="000000"/>
          <w:sz w:val="22"/>
          <w:szCs w:val="22"/>
          <w:lang w:val="en-US"/>
        </w:rPr>
      </w:pPr>
      <w:r w:rsidRPr="00166049">
        <w:rPr>
          <w:color w:val="000000"/>
          <w:sz w:val="22"/>
          <w:szCs w:val="22"/>
          <w:lang w:val="en-US"/>
        </w:rPr>
        <w:t>In Q1 201</w:t>
      </w:r>
      <w:r>
        <w:rPr>
          <w:color w:val="000000"/>
          <w:sz w:val="22"/>
          <w:szCs w:val="22"/>
          <w:lang w:val="en-US"/>
        </w:rPr>
        <w:t>9</w:t>
      </w:r>
      <w:r w:rsidRPr="00166049">
        <w:rPr>
          <w:color w:val="000000"/>
          <w:sz w:val="22"/>
          <w:szCs w:val="22"/>
          <w:lang w:val="en-US"/>
        </w:rPr>
        <w:t xml:space="preserve">, </w:t>
      </w:r>
      <w:r w:rsidR="002B7916">
        <w:rPr>
          <w:color w:val="000000"/>
          <w:sz w:val="22"/>
          <w:szCs w:val="22"/>
          <w:lang w:val="en-US"/>
        </w:rPr>
        <w:t>all</w:t>
      </w:r>
      <w:r w:rsidR="007608F0">
        <w:rPr>
          <w:color w:val="000000"/>
          <w:sz w:val="22"/>
          <w:szCs w:val="22"/>
          <w:lang w:val="en-US"/>
        </w:rPr>
        <w:t xml:space="preserve"> AIF</w:t>
      </w:r>
      <w:r w:rsidR="002B7916">
        <w:rPr>
          <w:color w:val="000000"/>
          <w:sz w:val="22"/>
          <w:szCs w:val="22"/>
          <w:lang w:val="en-US"/>
        </w:rPr>
        <w:t xml:space="preserve"> </w:t>
      </w:r>
      <w:r w:rsidRPr="00166049">
        <w:rPr>
          <w:color w:val="000000"/>
          <w:sz w:val="22"/>
          <w:szCs w:val="22"/>
          <w:lang w:val="en-US"/>
        </w:rPr>
        <w:t>categories</w:t>
      </w:r>
      <w:r w:rsidR="007608F0">
        <w:rPr>
          <w:color w:val="000000"/>
          <w:sz w:val="22"/>
          <w:szCs w:val="22"/>
          <w:lang w:val="en-US"/>
        </w:rPr>
        <w:t>, with the exception of money market funds,</w:t>
      </w:r>
      <w:r w:rsidRPr="00166049">
        <w:rPr>
          <w:color w:val="000000"/>
          <w:sz w:val="22"/>
          <w:szCs w:val="22"/>
          <w:lang w:val="en-US"/>
        </w:rPr>
        <w:t xml:space="preserve"> recorded net asset growth</w:t>
      </w:r>
      <w:r w:rsidR="004E14AE">
        <w:rPr>
          <w:color w:val="000000"/>
          <w:sz w:val="22"/>
          <w:szCs w:val="22"/>
          <w:lang w:val="en-US"/>
        </w:rPr>
        <w:t xml:space="preserve">. </w:t>
      </w:r>
      <w:r w:rsidRPr="00166049">
        <w:rPr>
          <w:color w:val="000000"/>
          <w:sz w:val="22"/>
          <w:szCs w:val="22"/>
          <w:lang w:val="en-US"/>
        </w:rPr>
        <w:t>Equity funds recorded the largest growth (</w:t>
      </w:r>
      <w:r w:rsidR="002B7916">
        <w:rPr>
          <w:color w:val="000000"/>
          <w:sz w:val="22"/>
          <w:szCs w:val="22"/>
          <w:lang w:val="en-US"/>
        </w:rPr>
        <w:t>10.7</w:t>
      </w:r>
      <w:r w:rsidRPr="00166049">
        <w:rPr>
          <w:color w:val="000000"/>
          <w:sz w:val="22"/>
          <w:szCs w:val="22"/>
          <w:lang w:val="en-US"/>
        </w:rPr>
        <w:t>%),</w:t>
      </w:r>
      <w:r w:rsidR="002B7916">
        <w:rPr>
          <w:color w:val="000000"/>
          <w:sz w:val="22"/>
          <w:szCs w:val="22"/>
          <w:lang w:val="en-US"/>
        </w:rPr>
        <w:t xml:space="preserve"> </w:t>
      </w:r>
      <w:r w:rsidRPr="00166049">
        <w:rPr>
          <w:color w:val="000000"/>
          <w:sz w:val="22"/>
          <w:szCs w:val="22"/>
          <w:lang w:val="en-US"/>
        </w:rPr>
        <w:t xml:space="preserve">followed by </w:t>
      </w:r>
      <w:r w:rsidR="00F61856">
        <w:rPr>
          <w:color w:val="000000"/>
          <w:sz w:val="22"/>
          <w:szCs w:val="22"/>
          <w:lang w:val="en-US"/>
        </w:rPr>
        <w:t>“other” AIF</w:t>
      </w:r>
      <w:r w:rsidR="007608F0">
        <w:rPr>
          <w:color w:val="000000"/>
          <w:sz w:val="22"/>
          <w:szCs w:val="22"/>
          <w:lang w:val="en-US"/>
        </w:rPr>
        <w:t>s</w:t>
      </w:r>
      <w:r w:rsidR="00F61856">
        <w:rPr>
          <w:color w:val="000000"/>
          <w:sz w:val="22"/>
          <w:szCs w:val="22"/>
          <w:lang w:val="en-US"/>
        </w:rPr>
        <w:t xml:space="preserve"> (8.7%)</w:t>
      </w:r>
      <w:r w:rsidR="007608F0">
        <w:rPr>
          <w:color w:val="000000"/>
          <w:sz w:val="22"/>
          <w:szCs w:val="22"/>
          <w:lang w:val="en-US"/>
        </w:rPr>
        <w:t xml:space="preserve"> and multi</w:t>
      </w:r>
      <w:r w:rsidR="002B7916" w:rsidRPr="00166049">
        <w:rPr>
          <w:color w:val="000000"/>
          <w:sz w:val="22"/>
          <w:szCs w:val="22"/>
          <w:lang w:val="en-US"/>
        </w:rPr>
        <w:t>-</w:t>
      </w:r>
      <w:r w:rsidR="002B7916" w:rsidRPr="009252AA">
        <w:rPr>
          <w:color w:val="000000"/>
          <w:sz w:val="22"/>
          <w:szCs w:val="22"/>
          <w:lang w:val="en-US"/>
        </w:rPr>
        <w:t>asset funds (5.7%).</w:t>
      </w:r>
      <w:r w:rsidR="00F61856" w:rsidRPr="009252AA">
        <w:rPr>
          <w:color w:val="000000"/>
          <w:sz w:val="22"/>
          <w:szCs w:val="22"/>
          <w:lang w:val="en-US"/>
        </w:rPr>
        <w:t xml:space="preserve"> </w:t>
      </w:r>
      <w:r w:rsidR="007608F0" w:rsidRPr="009252AA">
        <w:rPr>
          <w:color w:val="000000"/>
          <w:sz w:val="22"/>
          <w:szCs w:val="22"/>
          <w:lang w:val="en-US"/>
        </w:rPr>
        <w:t>Net assets of money market funds decreased by 31.9 percent in Q1 due to large outflows in France.</w:t>
      </w:r>
    </w:p>
    <w:p w14:paraId="53FF56A5" w14:textId="7317AAE3" w:rsidR="00166049" w:rsidRDefault="00166049" w:rsidP="00166049">
      <w:pPr>
        <w:pStyle w:val="Footer"/>
        <w:tabs>
          <w:tab w:val="left" w:pos="720"/>
          <w:tab w:val="left" w:pos="4320"/>
        </w:tabs>
        <w:spacing w:line="260" w:lineRule="exact"/>
        <w:jc w:val="both"/>
        <w:rPr>
          <w:color w:val="000000"/>
          <w:sz w:val="22"/>
          <w:szCs w:val="22"/>
          <w:lang w:val="en-US"/>
        </w:rPr>
      </w:pPr>
    </w:p>
    <w:p w14:paraId="2607FFA2" w14:textId="4E195429" w:rsidR="00261CDE" w:rsidRPr="00276B08" w:rsidRDefault="007F78B5" w:rsidP="009D14F0">
      <w:pPr>
        <w:pStyle w:val="Footer"/>
        <w:tabs>
          <w:tab w:val="left" w:pos="720"/>
          <w:tab w:val="left" w:pos="4320"/>
        </w:tabs>
        <w:spacing w:line="260" w:lineRule="exact"/>
        <w:jc w:val="both"/>
        <w:rPr>
          <w:sz w:val="22"/>
          <w:szCs w:val="22"/>
          <w:lang w:val="en-US"/>
        </w:rPr>
      </w:pPr>
      <w:r>
        <w:rPr>
          <w:color w:val="000000"/>
          <w:sz w:val="22"/>
          <w:szCs w:val="22"/>
          <w:lang w:val="en-US"/>
        </w:rPr>
        <w:t>The</w:t>
      </w:r>
      <w:r w:rsidR="008B480B">
        <w:rPr>
          <w:color w:val="000000"/>
          <w:sz w:val="22"/>
          <w:szCs w:val="22"/>
          <w:lang w:val="en-US"/>
        </w:rPr>
        <w:t xml:space="preserve">re were </w:t>
      </w:r>
      <w:r w:rsidR="007C796C">
        <w:rPr>
          <w:color w:val="000000"/>
          <w:sz w:val="22"/>
          <w:szCs w:val="22"/>
          <w:lang w:val="en-US"/>
        </w:rPr>
        <w:t>28,</w:t>
      </w:r>
      <w:r w:rsidR="00DA4B80">
        <w:rPr>
          <w:color w:val="000000"/>
          <w:sz w:val="22"/>
          <w:szCs w:val="22"/>
          <w:lang w:val="en-US"/>
        </w:rPr>
        <w:t>106</w:t>
      </w:r>
      <w:r w:rsidR="001B2438">
        <w:rPr>
          <w:color w:val="000000"/>
          <w:sz w:val="22"/>
          <w:szCs w:val="22"/>
          <w:lang w:val="en-US"/>
        </w:rPr>
        <w:t xml:space="preserve"> AIF</w:t>
      </w:r>
      <w:r w:rsidR="00D945E8">
        <w:rPr>
          <w:color w:val="000000"/>
          <w:sz w:val="22"/>
          <w:szCs w:val="22"/>
          <w:lang w:val="en-US"/>
        </w:rPr>
        <w:t xml:space="preserve">s </w:t>
      </w:r>
      <w:r w:rsidR="009C315C">
        <w:rPr>
          <w:color w:val="000000"/>
          <w:sz w:val="22"/>
          <w:szCs w:val="22"/>
          <w:lang w:val="en-US"/>
        </w:rPr>
        <w:t xml:space="preserve">at end </w:t>
      </w:r>
      <w:r w:rsidR="009D21BE">
        <w:rPr>
          <w:color w:val="000000"/>
          <w:sz w:val="22"/>
          <w:szCs w:val="22"/>
          <w:lang w:val="en-US"/>
        </w:rPr>
        <w:t xml:space="preserve">March </w:t>
      </w:r>
      <w:r w:rsidR="007C796C">
        <w:rPr>
          <w:color w:val="000000"/>
          <w:sz w:val="22"/>
          <w:szCs w:val="22"/>
          <w:lang w:val="en-US"/>
        </w:rPr>
        <w:t>201</w:t>
      </w:r>
      <w:r w:rsidR="00DA4B80">
        <w:rPr>
          <w:color w:val="000000"/>
          <w:sz w:val="22"/>
          <w:szCs w:val="22"/>
          <w:lang w:val="en-US"/>
        </w:rPr>
        <w:t>9</w:t>
      </w:r>
      <w:r w:rsidR="009C315C">
        <w:rPr>
          <w:color w:val="000000"/>
          <w:sz w:val="22"/>
          <w:szCs w:val="22"/>
          <w:lang w:val="en-US"/>
        </w:rPr>
        <w:t xml:space="preserve">, compared </w:t>
      </w:r>
      <w:r w:rsidR="009C315C" w:rsidRPr="00F51BC0">
        <w:rPr>
          <w:sz w:val="22"/>
          <w:szCs w:val="22"/>
          <w:lang w:val="en-US"/>
        </w:rPr>
        <w:t xml:space="preserve">to </w:t>
      </w:r>
      <w:r w:rsidR="00F51BC0" w:rsidRPr="00F51BC0">
        <w:rPr>
          <w:sz w:val="22"/>
          <w:szCs w:val="22"/>
          <w:lang w:val="en-US"/>
        </w:rPr>
        <w:t>28,</w:t>
      </w:r>
      <w:r w:rsidR="00DA4B80">
        <w:rPr>
          <w:sz w:val="22"/>
          <w:szCs w:val="22"/>
          <w:lang w:val="en-US"/>
        </w:rPr>
        <w:t>594</w:t>
      </w:r>
      <w:r w:rsidR="00795DA0">
        <w:rPr>
          <w:sz w:val="22"/>
          <w:szCs w:val="22"/>
          <w:lang w:val="en-US"/>
        </w:rPr>
        <w:t xml:space="preserve"> </w:t>
      </w:r>
      <w:r w:rsidR="001B2438" w:rsidRPr="00F51BC0">
        <w:rPr>
          <w:sz w:val="22"/>
          <w:szCs w:val="22"/>
          <w:lang w:val="en-US"/>
        </w:rPr>
        <w:t>at end</w:t>
      </w:r>
      <w:r w:rsidR="008B480B" w:rsidRPr="00F51BC0">
        <w:rPr>
          <w:sz w:val="22"/>
          <w:szCs w:val="22"/>
          <w:lang w:val="en-US"/>
        </w:rPr>
        <w:t xml:space="preserve"> </w:t>
      </w:r>
      <w:r w:rsidR="002E3015" w:rsidRPr="00F51BC0">
        <w:rPr>
          <w:sz w:val="22"/>
          <w:szCs w:val="22"/>
          <w:lang w:val="en-US"/>
        </w:rPr>
        <w:t>201</w:t>
      </w:r>
      <w:r w:rsidR="00DA4B80">
        <w:rPr>
          <w:sz w:val="22"/>
          <w:szCs w:val="22"/>
          <w:lang w:val="en-US"/>
        </w:rPr>
        <w:t>8</w:t>
      </w:r>
      <w:r w:rsidR="009C315C" w:rsidRPr="00F51BC0">
        <w:rPr>
          <w:sz w:val="22"/>
          <w:szCs w:val="22"/>
          <w:lang w:val="en-US"/>
        </w:rPr>
        <w:t xml:space="preserve">. </w:t>
      </w:r>
    </w:p>
    <w:p w14:paraId="1BE6BCBA" w14:textId="6E03B7FB" w:rsidR="009C315C" w:rsidRDefault="007608F0" w:rsidP="009D14F0">
      <w:pPr>
        <w:pStyle w:val="Footer"/>
        <w:tabs>
          <w:tab w:val="left" w:pos="720"/>
          <w:tab w:val="left" w:pos="4320"/>
        </w:tabs>
        <w:spacing w:line="260" w:lineRule="exact"/>
        <w:jc w:val="both"/>
        <w:rPr>
          <w:color w:val="000000"/>
          <w:sz w:val="22"/>
          <w:szCs w:val="22"/>
          <w:lang w:val="en-US"/>
        </w:rPr>
      </w:pPr>
      <w:r w:rsidRPr="00970114">
        <w:rPr>
          <w:noProof/>
          <w:lang w:val="nl-BE" w:eastAsia="nl-BE"/>
        </w:rPr>
        <w:drawing>
          <wp:anchor distT="0" distB="0" distL="114300" distR="114300" simplePos="0" relativeHeight="251787264" behindDoc="0" locked="0" layoutInCell="1" allowOverlap="1" wp14:anchorId="17C73875" wp14:editId="46B015CA">
            <wp:simplePos x="0" y="0"/>
            <wp:positionH relativeFrom="margin">
              <wp:align>center</wp:align>
            </wp:positionH>
            <wp:positionV relativeFrom="paragraph">
              <wp:posOffset>85090</wp:posOffset>
            </wp:positionV>
            <wp:extent cx="4772025" cy="7553325"/>
            <wp:effectExtent l="0" t="0" r="9525"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72025" cy="7553325"/>
                    </a:xfrm>
                    <a:prstGeom prst="rect">
                      <a:avLst/>
                    </a:prstGeom>
                    <a:noFill/>
                    <a:ln>
                      <a:noFill/>
                    </a:ln>
                  </pic:spPr>
                </pic:pic>
              </a:graphicData>
            </a:graphic>
          </wp:anchor>
        </w:drawing>
      </w:r>
    </w:p>
    <w:p w14:paraId="7DE2DAFF" w14:textId="75883EF1" w:rsidR="00C04091" w:rsidRPr="007E7173" w:rsidRDefault="00C04091" w:rsidP="007E7173">
      <w:pPr>
        <w:pStyle w:val="Footer"/>
        <w:tabs>
          <w:tab w:val="left" w:pos="720"/>
          <w:tab w:val="left" w:pos="4320"/>
        </w:tabs>
        <w:spacing w:line="260" w:lineRule="exact"/>
        <w:jc w:val="both"/>
        <w:rPr>
          <w:color w:val="000000"/>
          <w:sz w:val="22"/>
          <w:szCs w:val="22"/>
          <w:lang w:val="en-US"/>
        </w:rPr>
      </w:pPr>
    </w:p>
    <w:p w14:paraId="02F86805" w14:textId="1B7A90F1" w:rsidR="00C04091" w:rsidRPr="007E7173" w:rsidRDefault="00C04091" w:rsidP="007E7173">
      <w:pPr>
        <w:pStyle w:val="Footer"/>
        <w:tabs>
          <w:tab w:val="left" w:pos="720"/>
          <w:tab w:val="left" w:pos="4320"/>
        </w:tabs>
        <w:spacing w:line="260" w:lineRule="exact"/>
        <w:jc w:val="both"/>
        <w:rPr>
          <w:color w:val="000000"/>
          <w:sz w:val="22"/>
          <w:szCs w:val="22"/>
          <w:lang w:val="en-US"/>
        </w:rPr>
      </w:pPr>
    </w:p>
    <w:p w14:paraId="0EBB3334" w14:textId="6E31537C" w:rsidR="00FA63F0" w:rsidRPr="001B65E9" w:rsidRDefault="00A6458D" w:rsidP="00FA63F0">
      <w:pPr>
        <w:pStyle w:val="Footer"/>
        <w:jc w:val="center"/>
        <w:outlineLvl w:val="0"/>
        <w:rPr>
          <w:b/>
          <w:bCs/>
          <w:iCs/>
          <w:sz w:val="28"/>
          <w14:shadow w14:blurRad="50800" w14:dist="38100" w14:dir="2700000" w14:sx="100000" w14:sy="100000" w14:kx="0" w14:ky="0" w14:algn="tl">
            <w14:srgbClr w14:val="000000">
              <w14:alpha w14:val="60000"/>
            </w14:srgbClr>
          </w14:shadow>
        </w:rPr>
      </w:pPr>
      <w:r w:rsidRPr="00C04091">
        <w:br w:type="page"/>
      </w:r>
      <w:r w:rsidR="007C30BC" w:rsidRPr="001B65E9">
        <w:rPr>
          <w:b/>
          <w:bCs/>
          <w:iCs/>
          <w:sz w:val="28"/>
          <w14:shadow w14:blurRad="50800" w14:dist="38100" w14:dir="2700000" w14:sx="100000" w14:sy="100000" w14:kx="0" w14:ky="0" w14:algn="tl">
            <w14:srgbClr w14:val="000000">
              <w14:alpha w14:val="60000"/>
            </w14:srgbClr>
          </w14:shadow>
        </w:rPr>
        <w:lastRenderedPageBreak/>
        <w:t>Trends in the AIF</w:t>
      </w:r>
      <w:r w:rsidR="00FA63F0" w:rsidRPr="001B65E9">
        <w:rPr>
          <w:b/>
          <w:bCs/>
          <w:iCs/>
          <w:sz w:val="28"/>
          <w14:shadow w14:blurRad="50800" w14:dist="38100" w14:dir="2700000" w14:sx="100000" w14:sy="100000" w14:kx="0" w14:ky="0" w14:algn="tl">
            <w14:srgbClr w14:val="000000">
              <w14:alpha w14:val="60000"/>
            </w14:srgbClr>
          </w14:shadow>
        </w:rPr>
        <w:t xml:space="preserve"> Market</w:t>
      </w:r>
    </w:p>
    <w:p w14:paraId="3EA80BE3" w14:textId="7E70FDEC" w:rsidR="00FA63F0" w:rsidRPr="00A5108A" w:rsidRDefault="00FA63F0" w:rsidP="00FA63F0">
      <w:pPr>
        <w:pStyle w:val="Footer"/>
        <w:tabs>
          <w:tab w:val="clear" w:pos="4320"/>
          <w:tab w:val="clear" w:pos="8640"/>
          <w:tab w:val="left" w:pos="4185"/>
        </w:tabs>
        <w:spacing w:line="260" w:lineRule="exact"/>
        <w:jc w:val="center"/>
        <w:rPr>
          <w:i/>
          <w:iCs/>
          <w:sz w:val="22"/>
          <w:szCs w:val="22"/>
          <w:lang w:val="en-US"/>
        </w:rPr>
      </w:pPr>
      <w:r w:rsidRPr="001B65E9">
        <w:rPr>
          <w:b/>
          <w:bCs/>
          <w:i/>
          <w:iCs/>
          <w:sz w:val="28"/>
          <w:szCs w:val="28"/>
          <w:lang w:val="en-US"/>
          <w14:shadow w14:blurRad="50800" w14:dist="38100" w14:dir="2700000" w14:sx="100000" w14:sy="100000" w14:kx="0" w14:ky="0" w14:algn="tl">
            <w14:srgbClr w14:val="000000">
              <w14:alpha w14:val="60000"/>
            </w14:srgbClr>
          </w14:shadow>
        </w:rPr>
        <w:t xml:space="preserve">Net Sales and </w:t>
      </w:r>
      <w:r w:rsidR="002B5177" w:rsidRPr="001B65E9">
        <w:rPr>
          <w:b/>
          <w:bCs/>
          <w:i/>
          <w:iCs/>
          <w:sz w:val="28"/>
          <w:szCs w:val="28"/>
          <w:lang w:val="en-US"/>
          <w14:shadow w14:blurRad="50800" w14:dist="38100" w14:dir="2700000" w14:sx="100000" w14:sy="100000" w14:kx="0" w14:ky="0" w14:algn="tl">
            <w14:srgbClr w14:val="000000">
              <w14:alpha w14:val="60000"/>
            </w14:srgbClr>
          </w14:shadow>
        </w:rPr>
        <w:t>Assets of</w:t>
      </w:r>
      <w:r w:rsidR="007F4664" w:rsidRPr="001B65E9">
        <w:rPr>
          <w:b/>
          <w:bCs/>
          <w:i/>
          <w:iCs/>
          <w:sz w:val="28"/>
          <w:szCs w:val="28"/>
          <w:lang w:val="en-US"/>
          <w14:shadow w14:blurRad="50800" w14:dist="38100" w14:dir="2700000" w14:sx="100000" w14:sy="100000" w14:kx="0" w14:ky="0" w14:algn="tl">
            <w14:srgbClr w14:val="000000">
              <w14:alpha w14:val="60000"/>
            </w14:srgbClr>
          </w14:shadow>
        </w:rPr>
        <w:t xml:space="preserve"> Institutional </w:t>
      </w:r>
      <w:r w:rsidR="00D67209" w:rsidRPr="001B65E9">
        <w:rPr>
          <w:b/>
          <w:bCs/>
          <w:i/>
          <w:iCs/>
          <w:sz w:val="28"/>
          <w:szCs w:val="28"/>
          <w:lang w:val="en-US"/>
          <w14:shadow w14:blurRad="50800" w14:dist="38100" w14:dir="2700000" w14:sx="100000" w14:sy="100000" w14:kx="0" w14:ky="0" w14:algn="tl">
            <w14:srgbClr w14:val="000000">
              <w14:alpha w14:val="60000"/>
            </w14:srgbClr>
          </w14:shadow>
        </w:rPr>
        <w:t>AIF</w:t>
      </w:r>
      <w:r w:rsidR="00361684">
        <w:rPr>
          <w:b/>
          <w:bCs/>
          <w:i/>
          <w:iCs/>
          <w:sz w:val="28"/>
          <w:szCs w:val="28"/>
          <w:lang w:val="en-US"/>
          <w14:shadow w14:blurRad="50800" w14:dist="38100" w14:dir="2700000" w14:sx="100000" w14:sy="100000" w14:kx="0" w14:ky="0" w14:algn="tl">
            <w14:srgbClr w14:val="000000">
              <w14:alpha w14:val="60000"/>
            </w14:srgbClr>
          </w14:shadow>
        </w:rPr>
        <w:t>s</w:t>
      </w:r>
    </w:p>
    <w:p w14:paraId="4FDCE492" w14:textId="4EE82A25" w:rsidR="00FA63F0" w:rsidRPr="00A5108A" w:rsidRDefault="00FA63F0" w:rsidP="00FA63F0">
      <w:pPr>
        <w:pStyle w:val="Footer"/>
        <w:tabs>
          <w:tab w:val="left" w:pos="720"/>
          <w:tab w:val="left" w:pos="4320"/>
        </w:tabs>
        <w:spacing w:line="260" w:lineRule="exact"/>
        <w:jc w:val="both"/>
        <w:rPr>
          <w:color w:val="000000"/>
          <w:sz w:val="22"/>
          <w:szCs w:val="22"/>
          <w:lang w:val="en-US"/>
        </w:rPr>
      </w:pPr>
    </w:p>
    <w:p w14:paraId="68399E76" w14:textId="0A8F00E6" w:rsidR="00221202" w:rsidRPr="00A5108A" w:rsidRDefault="00BC0701" w:rsidP="00FA63F0">
      <w:pPr>
        <w:pStyle w:val="Footer"/>
        <w:tabs>
          <w:tab w:val="left" w:pos="720"/>
          <w:tab w:val="left" w:pos="4320"/>
        </w:tabs>
        <w:spacing w:line="260" w:lineRule="exact"/>
        <w:jc w:val="both"/>
        <w:rPr>
          <w:b/>
          <w:bCs/>
          <w:color w:val="0000FF"/>
          <w:sz w:val="22"/>
          <w:szCs w:val="22"/>
          <w:lang w:val="en-US"/>
        </w:rPr>
      </w:pPr>
      <w:r w:rsidRPr="00A5108A">
        <w:rPr>
          <w:b/>
          <w:bCs/>
          <w:color w:val="0000FF"/>
          <w:sz w:val="22"/>
          <w:szCs w:val="22"/>
          <w:lang w:val="en-US"/>
        </w:rPr>
        <w:t>Net assets of i</w:t>
      </w:r>
      <w:r w:rsidR="007F4664" w:rsidRPr="00A5108A">
        <w:rPr>
          <w:b/>
          <w:bCs/>
          <w:color w:val="0000FF"/>
          <w:sz w:val="22"/>
          <w:szCs w:val="22"/>
          <w:lang w:val="en-US"/>
        </w:rPr>
        <w:t xml:space="preserve">nstitutional </w:t>
      </w:r>
      <w:r w:rsidR="00D67209" w:rsidRPr="00A5108A">
        <w:rPr>
          <w:b/>
          <w:bCs/>
          <w:color w:val="0000FF"/>
          <w:sz w:val="22"/>
          <w:szCs w:val="22"/>
          <w:lang w:val="en-US"/>
        </w:rPr>
        <w:t>AIF</w:t>
      </w:r>
      <w:r w:rsidR="00361684">
        <w:rPr>
          <w:b/>
          <w:bCs/>
          <w:color w:val="0000FF"/>
          <w:sz w:val="22"/>
          <w:szCs w:val="22"/>
          <w:lang w:val="en-US"/>
        </w:rPr>
        <w:t>s</w:t>
      </w:r>
      <w:r w:rsidR="002B5177" w:rsidRPr="00A5108A">
        <w:rPr>
          <w:b/>
          <w:bCs/>
          <w:color w:val="0000FF"/>
          <w:sz w:val="22"/>
          <w:szCs w:val="22"/>
          <w:lang w:val="en-US"/>
        </w:rPr>
        <w:t>, which are AIF</w:t>
      </w:r>
      <w:r w:rsidR="00361684">
        <w:rPr>
          <w:b/>
          <w:bCs/>
          <w:color w:val="0000FF"/>
          <w:sz w:val="22"/>
          <w:szCs w:val="22"/>
          <w:lang w:val="en-US"/>
        </w:rPr>
        <w:t>s</w:t>
      </w:r>
      <w:r w:rsidR="002B5177" w:rsidRPr="00A5108A">
        <w:rPr>
          <w:b/>
          <w:bCs/>
          <w:color w:val="0000FF"/>
          <w:sz w:val="22"/>
          <w:szCs w:val="22"/>
          <w:lang w:val="en-US"/>
        </w:rPr>
        <w:t xml:space="preserve"> reserved for</w:t>
      </w:r>
      <w:r w:rsidR="007F4664" w:rsidRPr="00A5108A">
        <w:rPr>
          <w:b/>
          <w:bCs/>
          <w:color w:val="0000FF"/>
          <w:sz w:val="22"/>
          <w:szCs w:val="22"/>
          <w:lang w:val="en-US"/>
        </w:rPr>
        <w:t xml:space="preserve"> institutional investor</w:t>
      </w:r>
      <w:r w:rsidR="002B5177" w:rsidRPr="00A5108A">
        <w:rPr>
          <w:b/>
          <w:bCs/>
          <w:color w:val="0000FF"/>
          <w:sz w:val="22"/>
          <w:szCs w:val="22"/>
          <w:lang w:val="en-US"/>
        </w:rPr>
        <w:t>s</w:t>
      </w:r>
      <w:r w:rsidR="007F4664" w:rsidRPr="00A5108A">
        <w:rPr>
          <w:b/>
          <w:bCs/>
          <w:color w:val="0000FF"/>
          <w:sz w:val="22"/>
          <w:szCs w:val="22"/>
          <w:lang w:val="en-US"/>
        </w:rPr>
        <w:t>,</w:t>
      </w:r>
      <w:r w:rsidR="00FA63F0" w:rsidRPr="00A5108A">
        <w:rPr>
          <w:b/>
          <w:bCs/>
          <w:color w:val="0000FF"/>
          <w:sz w:val="22"/>
          <w:szCs w:val="22"/>
          <w:lang w:val="en-US"/>
        </w:rPr>
        <w:t xml:space="preserve"> </w:t>
      </w:r>
      <w:r w:rsidR="004A054F">
        <w:rPr>
          <w:b/>
          <w:bCs/>
          <w:color w:val="0000FF"/>
          <w:sz w:val="22"/>
          <w:szCs w:val="22"/>
          <w:lang w:val="en-US"/>
        </w:rPr>
        <w:t>in</w:t>
      </w:r>
      <w:r w:rsidR="0018744E">
        <w:rPr>
          <w:b/>
          <w:bCs/>
          <w:color w:val="0000FF"/>
          <w:sz w:val="22"/>
          <w:szCs w:val="22"/>
          <w:lang w:val="en-US"/>
        </w:rPr>
        <w:t xml:space="preserve">creased by </w:t>
      </w:r>
      <w:r w:rsidR="004A054F">
        <w:rPr>
          <w:b/>
          <w:bCs/>
          <w:color w:val="0000FF"/>
          <w:sz w:val="22"/>
          <w:szCs w:val="22"/>
          <w:lang w:val="en-US"/>
        </w:rPr>
        <w:t>6.9</w:t>
      </w:r>
      <w:r w:rsidR="00292DC3" w:rsidRPr="00A5108A">
        <w:rPr>
          <w:b/>
          <w:bCs/>
          <w:color w:val="0000FF"/>
          <w:sz w:val="22"/>
          <w:szCs w:val="22"/>
          <w:lang w:val="en-US"/>
        </w:rPr>
        <w:t>%</w:t>
      </w:r>
      <w:r w:rsidR="007F4664" w:rsidRPr="00A5108A">
        <w:rPr>
          <w:b/>
          <w:bCs/>
          <w:color w:val="0000FF"/>
          <w:sz w:val="22"/>
          <w:szCs w:val="22"/>
          <w:lang w:val="en-US"/>
        </w:rPr>
        <w:t xml:space="preserve"> </w:t>
      </w:r>
      <w:r w:rsidR="00286DC4" w:rsidRPr="00A5108A">
        <w:rPr>
          <w:b/>
          <w:bCs/>
          <w:color w:val="0000FF"/>
          <w:sz w:val="22"/>
          <w:szCs w:val="22"/>
          <w:lang w:val="en-US"/>
        </w:rPr>
        <w:t xml:space="preserve">to </w:t>
      </w:r>
      <w:r w:rsidR="00D537A6" w:rsidRPr="00A5108A">
        <w:rPr>
          <w:b/>
          <w:bCs/>
          <w:color w:val="0000FF"/>
          <w:sz w:val="22"/>
          <w:szCs w:val="22"/>
          <w:lang w:val="en-US"/>
        </w:rPr>
        <w:t xml:space="preserve">EUR </w:t>
      </w:r>
      <w:r w:rsidR="00A5108A">
        <w:rPr>
          <w:b/>
          <w:bCs/>
          <w:color w:val="0000FF"/>
          <w:sz w:val="22"/>
          <w:szCs w:val="22"/>
          <w:lang w:val="en-US"/>
        </w:rPr>
        <w:t>2,</w:t>
      </w:r>
      <w:r w:rsidR="00DA4B80">
        <w:rPr>
          <w:b/>
          <w:bCs/>
          <w:color w:val="0000FF"/>
          <w:sz w:val="22"/>
          <w:szCs w:val="22"/>
          <w:lang w:val="en-US"/>
        </w:rPr>
        <w:t>592</w:t>
      </w:r>
      <w:r w:rsidR="000B52FE" w:rsidRPr="00A5108A">
        <w:rPr>
          <w:b/>
          <w:bCs/>
          <w:color w:val="0000FF"/>
          <w:sz w:val="22"/>
          <w:szCs w:val="22"/>
          <w:lang w:val="en-US"/>
        </w:rPr>
        <w:t xml:space="preserve"> </w:t>
      </w:r>
      <w:r w:rsidR="00974E43" w:rsidRPr="00A5108A">
        <w:rPr>
          <w:b/>
          <w:bCs/>
          <w:color w:val="0000FF"/>
          <w:sz w:val="22"/>
          <w:szCs w:val="22"/>
          <w:lang w:val="en-US"/>
        </w:rPr>
        <w:t>billion</w:t>
      </w:r>
      <w:r w:rsidR="00D52FA4">
        <w:rPr>
          <w:b/>
          <w:bCs/>
          <w:color w:val="0000FF"/>
          <w:sz w:val="22"/>
          <w:szCs w:val="22"/>
          <w:lang w:val="en-US"/>
        </w:rPr>
        <w:t xml:space="preserve"> at end </w:t>
      </w:r>
      <w:r w:rsidR="003573A4">
        <w:rPr>
          <w:b/>
          <w:bCs/>
          <w:color w:val="0000FF"/>
          <w:sz w:val="22"/>
          <w:szCs w:val="22"/>
          <w:lang w:val="en-US"/>
        </w:rPr>
        <w:t>Q1 201</w:t>
      </w:r>
      <w:r w:rsidR="00DA4B80">
        <w:rPr>
          <w:b/>
          <w:bCs/>
          <w:color w:val="0000FF"/>
          <w:sz w:val="22"/>
          <w:szCs w:val="22"/>
          <w:lang w:val="en-US"/>
        </w:rPr>
        <w:t>9</w:t>
      </w:r>
      <w:r w:rsidR="00FA63F0" w:rsidRPr="00A5108A">
        <w:rPr>
          <w:b/>
          <w:bCs/>
          <w:color w:val="0000FF"/>
          <w:sz w:val="22"/>
          <w:szCs w:val="22"/>
          <w:lang w:val="en-US"/>
        </w:rPr>
        <w:t xml:space="preserve">. </w:t>
      </w:r>
    </w:p>
    <w:p w14:paraId="05810484" w14:textId="77777777" w:rsidR="00BC0701" w:rsidRPr="00A5108A" w:rsidRDefault="00BC0701" w:rsidP="00FA63F0">
      <w:pPr>
        <w:pStyle w:val="Footer"/>
        <w:tabs>
          <w:tab w:val="left" w:pos="720"/>
          <w:tab w:val="left" w:pos="4320"/>
        </w:tabs>
        <w:spacing w:line="260" w:lineRule="exact"/>
        <w:jc w:val="both"/>
        <w:rPr>
          <w:b/>
          <w:bCs/>
          <w:color w:val="0000FF"/>
          <w:sz w:val="22"/>
          <w:szCs w:val="22"/>
          <w:lang w:val="en-US"/>
        </w:rPr>
      </w:pPr>
    </w:p>
    <w:p w14:paraId="4196E1CB" w14:textId="7DFEE5F8" w:rsidR="004538B6" w:rsidRPr="004A054F" w:rsidRDefault="00812F32" w:rsidP="004A054F">
      <w:pPr>
        <w:pStyle w:val="Footer"/>
        <w:tabs>
          <w:tab w:val="left" w:pos="720"/>
          <w:tab w:val="left" w:pos="4320"/>
        </w:tabs>
        <w:spacing w:line="260" w:lineRule="exact"/>
        <w:jc w:val="both"/>
        <w:rPr>
          <w:color w:val="000000"/>
          <w:sz w:val="22"/>
          <w:szCs w:val="22"/>
        </w:rPr>
      </w:pPr>
      <w:r>
        <w:rPr>
          <w:color w:val="000000"/>
          <w:sz w:val="22"/>
          <w:szCs w:val="22"/>
        </w:rPr>
        <w:t xml:space="preserve">Net assets of </w:t>
      </w:r>
      <w:r w:rsidR="004A054F" w:rsidRPr="00812F32">
        <w:rPr>
          <w:color w:val="000000"/>
          <w:sz w:val="22"/>
          <w:szCs w:val="22"/>
        </w:rPr>
        <w:t>“other” institutional funds</w:t>
      </w:r>
      <w:r w:rsidR="004A054F">
        <w:rPr>
          <w:color w:val="000000"/>
          <w:sz w:val="22"/>
          <w:szCs w:val="22"/>
        </w:rPr>
        <w:t xml:space="preserve"> increased 13.5% to </w:t>
      </w:r>
      <w:r w:rsidR="004A054F" w:rsidRPr="00812F32">
        <w:rPr>
          <w:color w:val="000000"/>
          <w:sz w:val="22"/>
          <w:szCs w:val="22"/>
        </w:rPr>
        <w:t xml:space="preserve">EUR </w:t>
      </w:r>
      <w:r w:rsidR="004A054F">
        <w:rPr>
          <w:color w:val="000000"/>
          <w:sz w:val="22"/>
          <w:szCs w:val="22"/>
        </w:rPr>
        <w:t>458</w:t>
      </w:r>
      <w:r w:rsidR="004A054F" w:rsidRPr="00812F32">
        <w:rPr>
          <w:color w:val="000000"/>
          <w:sz w:val="22"/>
          <w:szCs w:val="22"/>
        </w:rPr>
        <w:t xml:space="preserve"> billion, followed by </w:t>
      </w:r>
      <w:r w:rsidR="004A054F" w:rsidRPr="00812F32">
        <w:rPr>
          <w:bCs/>
          <w:color w:val="000000"/>
          <w:sz w:val="22"/>
          <w:szCs w:val="22"/>
          <w:lang w:val="en-US"/>
        </w:rPr>
        <w:t>equity funds</w:t>
      </w:r>
      <w:r w:rsidR="004A054F" w:rsidRPr="00812F32">
        <w:rPr>
          <w:color w:val="000000"/>
          <w:sz w:val="22"/>
          <w:szCs w:val="22"/>
        </w:rPr>
        <w:t xml:space="preserve"> (</w:t>
      </w:r>
      <w:r w:rsidR="004A054F">
        <w:rPr>
          <w:color w:val="000000"/>
          <w:sz w:val="22"/>
          <w:szCs w:val="22"/>
        </w:rPr>
        <w:t>9.6</w:t>
      </w:r>
      <w:r w:rsidR="004A054F" w:rsidRPr="00812F32">
        <w:rPr>
          <w:color w:val="000000"/>
          <w:sz w:val="22"/>
          <w:szCs w:val="22"/>
        </w:rPr>
        <w:t xml:space="preserve">% to EUR </w:t>
      </w:r>
      <w:r w:rsidR="004A054F">
        <w:rPr>
          <w:color w:val="000000"/>
          <w:sz w:val="22"/>
          <w:szCs w:val="22"/>
        </w:rPr>
        <w:t>245</w:t>
      </w:r>
      <w:r w:rsidR="004A054F" w:rsidRPr="00812F32">
        <w:rPr>
          <w:color w:val="000000"/>
          <w:sz w:val="22"/>
          <w:szCs w:val="22"/>
        </w:rPr>
        <w:t xml:space="preserve"> billion). </w:t>
      </w:r>
      <w:r w:rsidR="004A054F" w:rsidRPr="004A054F">
        <w:rPr>
          <w:color w:val="000000"/>
          <w:sz w:val="22"/>
          <w:szCs w:val="22"/>
        </w:rPr>
        <w:t>Net assets of institutional bond and money</w:t>
      </w:r>
      <w:r w:rsidR="004A054F">
        <w:rPr>
          <w:color w:val="000000"/>
          <w:sz w:val="22"/>
          <w:szCs w:val="22"/>
        </w:rPr>
        <w:t xml:space="preserve"> </w:t>
      </w:r>
      <w:r w:rsidR="004A054F" w:rsidRPr="004A054F">
        <w:rPr>
          <w:color w:val="000000"/>
          <w:sz w:val="22"/>
          <w:szCs w:val="22"/>
        </w:rPr>
        <w:t xml:space="preserve">market funds grew by </w:t>
      </w:r>
      <w:r w:rsidR="004A054F">
        <w:rPr>
          <w:color w:val="000000"/>
          <w:sz w:val="22"/>
          <w:szCs w:val="22"/>
        </w:rPr>
        <w:t>5.7</w:t>
      </w:r>
      <w:r w:rsidR="004A054F" w:rsidRPr="004A054F">
        <w:rPr>
          <w:color w:val="000000"/>
          <w:sz w:val="22"/>
          <w:szCs w:val="22"/>
        </w:rPr>
        <w:t xml:space="preserve">% </w:t>
      </w:r>
      <w:r w:rsidR="004A054F">
        <w:rPr>
          <w:color w:val="000000"/>
          <w:sz w:val="22"/>
          <w:szCs w:val="22"/>
        </w:rPr>
        <w:t xml:space="preserve">and 5.1% </w:t>
      </w:r>
      <w:r w:rsidR="004A054F" w:rsidRPr="004A054F">
        <w:rPr>
          <w:color w:val="000000"/>
          <w:sz w:val="22"/>
          <w:szCs w:val="22"/>
        </w:rPr>
        <w:t>to EUR 5</w:t>
      </w:r>
      <w:r w:rsidR="004A054F">
        <w:rPr>
          <w:color w:val="000000"/>
          <w:sz w:val="22"/>
          <w:szCs w:val="22"/>
        </w:rPr>
        <w:t>93</w:t>
      </w:r>
      <w:r w:rsidR="000F3986">
        <w:rPr>
          <w:color w:val="000000"/>
          <w:sz w:val="22"/>
          <w:szCs w:val="22"/>
        </w:rPr>
        <w:t xml:space="preserve"> </w:t>
      </w:r>
      <w:r w:rsidR="004A054F" w:rsidRPr="004A054F">
        <w:rPr>
          <w:color w:val="000000"/>
          <w:sz w:val="22"/>
          <w:szCs w:val="22"/>
        </w:rPr>
        <w:t xml:space="preserve">billion and </w:t>
      </w:r>
      <w:r w:rsidR="004A054F">
        <w:rPr>
          <w:color w:val="000000"/>
          <w:sz w:val="22"/>
          <w:szCs w:val="22"/>
        </w:rPr>
        <w:t>1,060</w:t>
      </w:r>
      <w:r w:rsidR="004A054F" w:rsidRPr="004A054F">
        <w:rPr>
          <w:color w:val="000000"/>
          <w:sz w:val="22"/>
          <w:szCs w:val="22"/>
        </w:rPr>
        <w:t xml:space="preserve"> billion</w:t>
      </w:r>
      <w:r w:rsidR="00D945E8">
        <w:rPr>
          <w:color w:val="000000"/>
          <w:sz w:val="22"/>
          <w:szCs w:val="22"/>
        </w:rPr>
        <w:t>,</w:t>
      </w:r>
      <w:r w:rsidR="004A054F" w:rsidRPr="004A054F">
        <w:rPr>
          <w:color w:val="000000"/>
          <w:sz w:val="22"/>
          <w:szCs w:val="22"/>
        </w:rPr>
        <w:t xml:space="preserve"> respectively.</w:t>
      </w:r>
      <w:r w:rsidR="004A054F">
        <w:rPr>
          <w:color w:val="000000"/>
          <w:sz w:val="22"/>
          <w:szCs w:val="22"/>
        </w:rPr>
        <w:t xml:space="preserve"> I</w:t>
      </w:r>
      <w:r w:rsidRPr="00812F32">
        <w:rPr>
          <w:color w:val="000000"/>
          <w:sz w:val="22"/>
          <w:szCs w:val="22"/>
        </w:rPr>
        <w:t>nstitutional real es</w:t>
      </w:r>
      <w:r w:rsidR="001E78F2">
        <w:rPr>
          <w:color w:val="000000"/>
          <w:sz w:val="22"/>
          <w:szCs w:val="22"/>
        </w:rPr>
        <w:t xml:space="preserve">tate </w:t>
      </w:r>
      <w:r w:rsidR="00C55CDE">
        <w:rPr>
          <w:color w:val="000000"/>
          <w:sz w:val="22"/>
          <w:szCs w:val="22"/>
        </w:rPr>
        <w:t xml:space="preserve">AIFs </w:t>
      </w:r>
      <w:r w:rsidR="004A054F" w:rsidRPr="004A054F">
        <w:rPr>
          <w:color w:val="000000"/>
          <w:sz w:val="22"/>
          <w:szCs w:val="22"/>
        </w:rPr>
        <w:t xml:space="preserve">experienced </w:t>
      </w:r>
      <w:r w:rsidR="00D945E8">
        <w:rPr>
          <w:color w:val="000000"/>
          <w:sz w:val="22"/>
          <w:szCs w:val="22"/>
        </w:rPr>
        <w:t xml:space="preserve">a </w:t>
      </w:r>
      <w:r w:rsidR="004A054F" w:rsidRPr="004A054F">
        <w:rPr>
          <w:color w:val="000000"/>
          <w:sz w:val="22"/>
          <w:szCs w:val="22"/>
        </w:rPr>
        <w:t xml:space="preserve">net asset growth of </w:t>
      </w:r>
      <w:r w:rsidR="004A054F">
        <w:rPr>
          <w:color w:val="000000"/>
          <w:sz w:val="22"/>
          <w:szCs w:val="22"/>
        </w:rPr>
        <w:t>3.3</w:t>
      </w:r>
      <w:r w:rsidR="004A054F" w:rsidRPr="004A054F">
        <w:rPr>
          <w:color w:val="000000"/>
          <w:sz w:val="22"/>
          <w:szCs w:val="22"/>
        </w:rPr>
        <w:t>% to reach EUR</w:t>
      </w:r>
      <w:r w:rsidR="004A054F">
        <w:rPr>
          <w:color w:val="000000"/>
          <w:sz w:val="22"/>
          <w:szCs w:val="22"/>
        </w:rPr>
        <w:t xml:space="preserve"> 224</w:t>
      </w:r>
      <w:r w:rsidR="004A054F" w:rsidRPr="004A054F">
        <w:rPr>
          <w:color w:val="000000"/>
          <w:sz w:val="22"/>
          <w:szCs w:val="22"/>
        </w:rPr>
        <w:t xml:space="preserve"> billion at end Q1 201</w:t>
      </w:r>
      <w:r w:rsidR="004A054F">
        <w:rPr>
          <w:color w:val="000000"/>
          <w:sz w:val="22"/>
          <w:szCs w:val="22"/>
        </w:rPr>
        <w:t>9</w:t>
      </w:r>
      <w:r w:rsidR="004A054F" w:rsidRPr="004A054F">
        <w:rPr>
          <w:color w:val="000000"/>
          <w:sz w:val="22"/>
          <w:szCs w:val="22"/>
        </w:rPr>
        <w:t>.</w:t>
      </w:r>
    </w:p>
    <w:p w14:paraId="5460F82B" w14:textId="2F86FF45" w:rsidR="00E25A1D" w:rsidRPr="00A5108A" w:rsidRDefault="00E25A1D" w:rsidP="00FA63F0">
      <w:pPr>
        <w:pStyle w:val="Footer"/>
        <w:tabs>
          <w:tab w:val="left" w:pos="720"/>
          <w:tab w:val="left" w:pos="4320"/>
        </w:tabs>
        <w:spacing w:line="260" w:lineRule="exact"/>
        <w:jc w:val="both"/>
        <w:rPr>
          <w:bCs/>
          <w:color w:val="000000"/>
          <w:sz w:val="22"/>
          <w:szCs w:val="22"/>
        </w:rPr>
      </w:pPr>
    </w:p>
    <w:p w14:paraId="271D7824" w14:textId="5F67B2CE" w:rsidR="00FA63F0" w:rsidRPr="007E7173" w:rsidRDefault="00804404" w:rsidP="00FA63F0">
      <w:pPr>
        <w:pStyle w:val="Footer"/>
        <w:tabs>
          <w:tab w:val="left" w:pos="720"/>
          <w:tab w:val="left" w:pos="4320"/>
        </w:tabs>
        <w:spacing w:line="260" w:lineRule="exact"/>
        <w:jc w:val="both"/>
        <w:rPr>
          <w:bCs/>
          <w:color w:val="000000"/>
          <w:sz w:val="22"/>
          <w:szCs w:val="22"/>
        </w:rPr>
      </w:pPr>
      <w:r w:rsidRPr="00A5108A">
        <w:rPr>
          <w:color w:val="000000"/>
          <w:sz w:val="22"/>
          <w:szCs w:val="22"/>
          <w:lang w:val="en-US"/>
        </w:rPr>
        <w:t>I</w:t>
      </w:r>
      <w:r w:rsidR="00FC0050" w:rsidRPr="00A5108A">
        <w:rPr>
          <w:color w:val="000000"/>
          <w:sz w:val="22"/>
          <w:szCs w:val="22"/>
          <w:lang w:val="en-US"/>
        </w:rPr>
        <w:t xml:space="preserve">nstitutional </w:t>
      </w:r>
      <w:r w:rsidR="00D12669" w:rsidRPr="00A5108A">
        <w:rPr>
          <w:color w:val="000000"/>
          <w:sz w:val="22"/>
          <w:szCs w:val="22"/>
          <w:lang w:val="en-US"/>
        </w:rPr>
        <w:t>AIF</w:t>
      </w:r>
      <w:r w:rsidR="007E7173">
        <w:rPr>
          <w:color w:val="000000"/>
          <w:sz w:val="22"/>
          <w:szCs w:val="22"/>
          <w:lang w:val="en-US"/>
        </w:rPr>
        <w:t>s</w:t>
      </w:r>
      <w:r w:rsidR="00C82188" w:rsidRPr="00A5108A">
        <w:rPr>
          <w:color w:val="000000"/>
          <w:sz w:val="22"/>
          <w:szCs w:val="22"/>
          <w:lang w:val="en-US"/>
        </w:rPr>
        <w:t xml:space="preserve"> </w:t>
      </w:r>
      <w:r w:rsidR="00E25A1D" w:rsidRPr="00A5108A">
        <w:rPr>
          <w:color w:val="000000"/>
          <w:sz w:val="22"/>
          <w:szCs w:val="22"/>
          <w:lang w:val="en-US"/>
        </w:rPr>
        <w:t>r</w:t>
      </w:r>
      <w:r w:rsidR="00550276">
        <w:rPr>
          <w:color w:val="000000"/>
          <w:sz w:val="22"/>
          <w:szCs w:val="22"/>
          <w:lang w:val="en-US"/>
        </w:rPr>
        <w:t>ecorded</w:t>
      </w:r>
      <w:r w:rsidR="00E25A1D" w:rsidRPr="00A5108A">
        <w:rPr>
          <w:color w:val="000000"/>
          <w:sz w:val="22"/>
          <w:szCs w:val="22"/>
          <w:lang w:val="en-US"/>
        </w:rPr>
        <w:t xml:space="preserve"> </w:t>
      </w:r>
      <w:r w:rsidR="00DE5892" w:rsidRPr="00A5108A">
        <w:rPr>
          <w:color w:val="000000"/>
          <w:sz w:val="22"/>
          <w:szCs w:val="22"/>
          <w:lang w:val="en-US"/>
        </w:rPr>
        <w:t xml:space="preserve">net sales of </w:t>
      </w:r>
      <w:r w:rsidR="00311F0F" w:rsidRPr="00A5108A">
        <w:rPr>
          <w:color w:val="000000"/>
          <w:sz w:val="22"/>
          <w:szCs w:val="22"/>
          <w:lang w:val="en-US"/>
        </w:rPr>
        <w:t xml:space="preserve">EUR </w:t>
      </w:r>
      <w:r w:rsidR="001C6BCF">
        <w:rPr>
          <w:color w:val="000000"/>
          <w:sz w:val="22"/>
          <w:szCs w:val="22"/>
          <w:lang w:val="en-US"/>
        </w:rPr>
        <w:t>5</w:t>
      </w:r>
      <w:r w:rsidR="004A054F">
        <w:rPr>
          <w:color w:val="000000"/>
          <w:sz w:val="22"/>
          <w:szCs w:val="22"/>
          <w:lang w:val="en-US"/>
        </w:rPr>
        <w:t>3</w:t>
      </w:r>
      <w:r w:rsidR="00C5258E">
        <w:rPr>
          <w:color w:val="000000"/>
          <w:sz w:val="22"/>
          <w:szCs w:val="22"/>
          <w:lang w:val="en-US"/>
        </w:rPr>
        <w:t xml:space="preserve"> </w:t>
      </w:r>
      <w:r w:rsidR="00146147">
        <w:rPr>
          <w:color w:val="000000"/>
          <w:sz w:val="22"/>
          <w:szCs w:val="22"/>
          <w:lang w:val="en-US"/>
        </w:rPr>
        <w:t xml:space="preserve">billion in </w:t>
      </w:r>
      <w:r w:rsidR="001C6BCF">
        <w:rPr>
          <w:color w:val="000000"/>
          <w:sz w:val="22"/>
          <w:szCs w:val="22"/>
          <w:lang w:val="en-US"/>
        </w:rPr>
        <w:t>Q1 201</w:t>
      </w:r>
      <w:r w:rsidR="004A054F">
        <w:rPr>
          <w:color w:val="000000"/>
          <w:sz w:val="22"/>
          <w:szCs w:val="22"/>
          <w:lang w:val="en-US"/>
        </w:rPr>
        <w:t>9</w:t>
      </w:r>
      <w:r w:rsidR="001C6BCF">
        <w:rPr>
          <w:color w:val="000000"/>
          <w:sz w:val="22"/>
          <w:szCs w:val="22"/>
          <w:lang w:val="en-US"/>
        </w:rPr>
        <w:t xml:space="preserve">, </w:t>
      </w:r>
      <w:r w:rsidR="00321792">
        <w:rPr>
          <w:color w:val="000000"/>
          <w:sz w:val="22"/>
          <w:szCs w:val="22"/>
          <w:lang w:val="en-US"/>
        </w:rPr>
        <w:t xml:space="preserve">up from </w:t>
      </w:r>
      <w:r w:rsidR="00146147">
        <w:rPr>
          <w:color w:val="000000"/>
          <w:sz w:val="22"/>
          <w:szCs w:val="22"/>
          <w:lang w:val="en-US"/>
        </w:rPr>
        <w:t xml:space="preserve">EUR </w:t>
      </w:r>
      <w:r w:rsidR="001C6BCF">
        <w:rPr>
          <w:color w:val="000000"/>
          <w:sz w:val="22"/>
          <w:szCs w:val="22"/>
          <w:lang w:val="en-US"/>
        </w:rPr>
        <w:t>3</w:t>
      </w:r>
      <w:r w:rsidR="004A054F">
        <w:rPr>
          <w:color w:val="000000"/>
          <w:sz w:val="22"/>
          <w:szCs w:val="22"/>
          <w:lang w:val="en-US"/>
        </w:rPr>
        <w:t>4</w:t>
      </w:r>
      <w:r w:rsidR="00C5258E">
        <w:rPr>
          <w:color w:val="000000"/>
          <w:sz w:val="22"/>
          <w:szCs w:val="22"/>
          <w:lang w:val="en-US"/>
        </w:rPr>
        <w:t xml:space="preserve"> </w:t>
      </w:r>
      <w:r w:rsidR="00812F32">
        <w:rPr>
          <w:color w:val="000000"/>
          <w:sz w:val="22"/>
          <w:szCs w:val="22"/>
          <w:lang w:val="en-US"/>
        </w:rPr>
        <w:t>billion in</w:t>
      </w:r>
      <w:r w:rsidR="00321792">
        <w:rPr>
          <w:color w:val="000000"/>
          <w:sz w:val="22"/>
          <w:szCs w:val="22"/>
          <w:lang w:val="en-US"/>
        </w:rPr>
        <w:t xml:space="preserve"> the last quarter of 201</w:t>
      </w:r>
      <w:r w:rsidR="004A054F">
        <w:rPr>
          <w:color w:val="000000"/>
          <w:sz w:val="22"/>
          <w:szCs w:val="22"/>
          <w:lang w:val="en-US"/>
        </w:rPr>
        <w:t>8</w:t>
      </w:r>
      <w:r w:rsidR="00146147">
        <w:rPr>
          <w:color w:val="000000"/>
          <w:sz w:val="22"/>
          <w:szCs w:val="22"/>
          <w:lang w:val="en-US"/>
        </w:rPr>
        <w:t>.</w:t>
      </w:r>
    </w:p>
    <w:p w14:paraId="3096D3D9" w14:textId="3AE25300" w:rsidR="00FA63F0" w:rsidRPr="007E7173" w:rsidRDefault="00FA63F0" w:rsidP="007E7173">
      <w:pPr>
        <w:pStyle w:val="Footer"/>
        <w:tabs>
          <w:tab w:val="left" w:pos="720"/>
          <w:tab w:val="left" w:pos="4320"/>
        </w:tabs>
        <w:spacing w:line="260" w:lineRule="exact"/>
        <w:jc w:val="both"/>
        <w:rPr>
          <w:bCs/>
          <w:color w:val="000000"/>
          <w:sz w:val="22"/>
          <w:szCs w:val="22"/>
        </w:rPr>
      </w:pPr>
    </w:p>
    <w:p w14:paraId="2549EC59" w14:textId="1796F634" w:rsidR="00BD1D3E" w:rsidRPr="007E7173" w:rsidRDefault="00D945E8" w:rsidP="007E7173">
      <w:pPr>
        <w:pStyle w:val="Footer"/>
        <w:tabs>
          <w:tab w:val="left" w:pos="720"/>
          <w:tab w:val="left" w:pos="4320"/>
        </w:tabs>
        <w:spacing w:line="260" w:lineRule="exact"/>
        <w:jc w:val="both"/>
        <w:rPr>
          <w:bCs/>
          <w:color w:val="000000"/>
          <w:sz w:val="22"/>
          <w:szCs w:val="22"/>
        </w:rPr>
      </w:pPr>
      <w:r w:rsidRPr="00DA4B80">
        <w:rPr>
          <w:noProof/>
          <w:lang w:val="nl-BE" w:eastAsia="nl-BE"/>
        </w:rPr>
        <w:drawing>
          <wp:anchor distT="0" distB="0" distL="114300" distR="114300" simplePos="0" relativeHeight="251805696" behindDoc="0" locked="0" layoutInCell="1" allowOverlap="1" wp14:anchorId="7EABBCE9" wp14:editId="156FE79C">
            <wp:simplePos x="0" y="0"/>
            <wp:positionH relativeFrom="margin">
              <wp:align>center</wp:align>
            </wp:positionH>
            <wp:positionV relativeFrom="paragraph">
              <wp:posOffset>10795</wp:posOffset>
            </wp:positionV>
            <wp:extent cx="4838700" cy="62007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38700" cy="6200775"/>
                    </a:xfrm>
                    <a:prstGeom prst="rect">
                      <a:avLst/>
                    </a:prstGeom>
                    <a:noFill/>
                    <a:ln>
                      <a:noFill/>
                    </a:ln>
                  </pic:spPr>
                </pic:pic>
              </a:graphicData>
            </a:graphic>
          </wp:anchor>
        </w:drawing>
      </w:r>
    </w:p>
    <w:p w14:paraId="1FFCD4DF" w14:textId="4843E4A7" w:rsidR="00650C28" w:rsidRPr="007E7173" w:rsidRDefault="00650C28" w:rsidP="007E7173">
      <w:pPr>
        <w:pStyle w:val="Footer"/>
        <w:tabs>
          <w:tab w:val="left" w:pos="720"/>
          <w:tab w:val="left" w:pos="4320"/>
        </w:tabs>
        <w:spacing w:line="260" w:lineRule="exact"/>
        <w:jc w:val="both"/>
        <w:rPr>
          <w:bCs/>
          <w:color w:val="000000"/>
          <w:sz w:val="22"/>
          <w:szCs w:val="22"/>
        </w:rPr>
      </w:pPr>
    </w:p>
    <w:p w14:paraId="417F2DE0" w14:textId="77777777" w:rsidR="00864931" w:rsidRPr="007E7173" w:rsidRDefault="00864931" w:rsidP="007E7173">
      <w:pPr>
        <w:pStyle w:val="Footer"/>
        <w:tabs>
          <w:tab w:val="left" w:pos="720"/>
          <w:tab w:val="left" w:pos="4320"/>
        </w:tabs>
        <w:spacing w:line="260" w:lineRule="exact"/>
        <w:jc w:val="both"/>
        <w:rPr>
          <w:bCs/>
          <w:color w:val="000000"/>
          <w:sz w:val="22"/>
          <w:szCs w:val="22"/>
        </w:rPr>
      </w:pPr>
    </w:p>
    <w:p w14:paraId="470FD36D" w14:textId="77777777" w:rsidR="00650C28" w:rsidRPr="007E7173" w:rsidRDefault="00650C28" w:rsidP="007E7173">
      <w:pPr>
        <w:pStyle w:val="Footer"/>
        <w:tabs>
          <w:tab w:val="left" w:pos="720"/>
          <w:tab w:val="left" w:pos="4320"/>
        </w:tabs>
        <w:spacing w:line="260" w:lineRule="exact"/>
        <w:jc w:val="both"/>
        <w:rPr>
          <w:bCs/>
          <w:color w:val="000000"/>
          <w:sz w:val="22"/>
          <w:szCs w:val="22"/>
        </w:rPr>
      </w:pPr>
    </w:p>
    <w:p w14:paraId="452EC966" w14:textId="77777777" w:rsidR="00650C28" w:rsidRPr="007E7173" w:rsidRDefault="00650C28" w:rsidP="007E7173">
      <w:pPr>
        <w:pStyle w:val="Footer"/>
        <w:tabs>
          <w:tab w:val="left" w:pos="720"/>
          <w:tab w:val="left" w:pos="4320"/>
        </w:tabs>
        <w:spacing w:line="260" w:lineRule="exact"/>
        <w:jc w:val="both"/>
        <w:rPr>
          <w:bCs/>
          <w:color w:val="000000"/>
          <w:sz w:val="22"/>
          <w:szCs w:val="22"/>
        </w:rPr>
      </w:pPr>
    </w:p>
    <w:p w14:paraId="2EF12EDD" w14:textId="77777777" w:rsidR="007C30BC" w:rsidRPr="001B65E9" w:rsidRDefault="003219C2" w:rsidP="007E7173">
      <w:pPr>
        <w:pStyle w:val="Footer"/>
        <w:tabs>
          <w:tab w:val="left" w:pos="720"/>
          <w:tab w:val="left" w:pos="4320"/>
        </w:tabs>
        <w:spacing w:line="260" w:lineRule="exact"/>
        <w:jc w:val="both"/>
        <w:rPr>
          <w:b/>
          <w:bCs/>
          <w:i/>
          <w:iCs/>
          <w:sz w:val="28"/>
          <w:szCs w:val="28"/>
          <w:lang w:val="en-US"/>
          <w14:shadow w14:blurRad="50800" w14:dist="38100" w14:dir="2700000" w14:sx="100000" w14:sy="100000" w14:kx="0" w14:ky="0" w14:algn="tl">
            <w14:srgbClr w14:val="000000">
              <w14:alpha w14:val="60000"/>
            </w14:srgbClr>
          </w14:shadow>
        </w:rPr>
      </w:pPr>
      <w:r w:rsidRPr="007E7173">
        <w:rPr>
          <w:bCs/>
          <w:color w:val="000000"/>
          <w:sz w:val="22"/>
          <w:szCs w:val="22"/>
        </w:rPr>
        <w:br w:type="page"/>
      </w:r>
      <w:r w:rsidR="00B22438">
        <w:rPr>
          <w:bCs/>
          <w:color w:val="000000"/>
          <w:sz w:val="22"/>
          <w:szCs w:val="22"/>
        </w:rPr>
        <w:lastRenderedPageBreak/>
        <w:t xml:space="preserve">                                                              </w:t>
      </w:r>
      <w:r w:rsidR="007C30BC" w:rsidRPr="001B65E9">
        <w:rPr>
          <w:b/>
          <w:bCs/>
          <w:sz w:val="28"/>
          <w:szCs w:val="28"/>
          <w:lang w:val="en-US"/>
          <w14:shadow w14:blurRad="50800" w14:dist="38100" w14:dir="2700000" w14:sx="100000" w14:sy="100000" w14:kx="0" w14:ky="0" w14:algn="tl">
            <w14:srgbClr w14:val="000000">
              <w14:alpha w14:val="60000"/>
            </w14:srgbClr>
          </w14:shadow>
        </w:rPr>
        <w:t>Trends in the AIF Market</w:t>
      </w:r>
    </w:p>
    <w:p w14:paraId="759FA1D5" w14:textId="77777777" w:rsidR="007C30BC" w:rsidRPr="001B65E9" w:rsidRDefault="007C30BC" w:rsidP="007C30BC">
      <w:pPr>
        <w:pStyle w:val="Footer"/>
        <w:jc w:val="center"/>
        <w:rPr>
          <w:b/>
          <w:bCs/>
          <w:i/>
          <w:iCs/>
          <w:sz w:val="28"/>
          <w:szCs w:val="28"/>
          <w:lang w:val="en-US"/>
          <w14:shadow w14:blurRad="50800" w14:dist="38100" w14:dir="2700000" w14:sx="100000" w14:sy="100000" w14:kx="0" w14:ky="0" w14:algn="tl">
            <w14:srgbClr w14:val="000000">
              <w14:alpha w14:val="60000"/>
            </w14:srgbClr>
          </w14:shadow>
        </w:rPr>
      </w:pPr>
      <w:r w:rsidRPr="001B65E9">
        <w:rPr>
          <w:b/>
          <w:bCs/>
          <w:i/>
          <w:iCs/>
          <w:sz w:val="28"/>
          <w:szCs w:val="28"/>
          <w:lang w:val="en-US"/>
          <w14:shadow w14:blurRad="50800" w14:dist="38100" w14:dir="2700000" w14:sx="100000" w14:sy="100000" w14:kx="0" w14:ky="0" w14:algn="tl">
            <w14:srgbClr w14:val="000000">
              <w14:alpha w14:val="60000"/>
            </w14:srgbClr>
          </w14:shadow>
        </w:rPr>
        <w:t>Net Assets by Country of Domiciliation</w:t>
      </w:r>
    </w:p>
    <w:p w14:paraId="08106883" w14:textId="77777777" w:rsidR="007C30BC" w:rsidRDefault="007C30BC" w:rsidP="007C30BC">
      <w:pPr>
        <w:pStyle w:val="FootnoteText"/>
        <w:jc w:val="both"/>
        <w:rPr>
          <w:bCs/>
          <w:color w:val="000000"/>
          <w:sz w:val="22"/>
          <w:szCs w:val="22"/>
        </w:rPr>
      </w:pPr>
    </w:p>
    <w:p w14:paraId="78860E14" w14:textId="4E5BD18B" w:rsidR="00DA2647" w:rsidRPr="00EA222B" w:rsidRDefault="00DA2647" w:rsidP="00DA2647">
      <w:pPr>
        <w:pStyle w:val="Footer"/>
        <w:tabs>
          <w:tab w:val="left" w:pos="720"/>
          <w:tab w:val="left" w:pos="4320"/>
        </w:tabs>
        <w:spacing w:line="260" w:lineRule="exact"/>
        <w:jc w:val="both"/>
        <w:rPr>
          <w:b/>
          <w:bCs/>
          <w:color w:val="0000FF"/>
          <w:sz w:val="22"/>
          <w:szCs w:val="22"/>
          <w:lang w:val="en-US"/>
        </w:rPr>
      </w:pPr>
      <w:r w:rsidRPr="00EA222B">
        <w:rPr>
          <w:b/>
          <w:bCs/>
          <w:color w:val="0000FF"/>
          <w:sz w:val="22"/>
          <w:szCs w:val="22"/>
          <w:lang w:val="en-US"/>
        </w:rPr>
        <w:t xml:space="preserve">Net assets of </w:t>
      </w:r>
      <w:r>
        <w:rPr>
          <w:b/>
          <w:bCs/>
          <w:color w:val="0000FF"/>
          <w:sz w:val="22"/>
          <w:szCs w:val="22"/>
          <w:lang w:val="en-US"/>
        </w:rPr>
        <w:t>AIF</w:t>
      </w:r>
      <w:r w:rsidR="00361684">
        <w:rPr>
          <w:b/>
          <w:bCs/>
          <w:color w:val="0000FF"/>
          <w:sz w:val="22"/>
          <w:szCs w:val="22"/>
          <w:lang w:val="en-US"/>
        </w:rPr>
        <w:t>s</w:t>
      </w:r>
      <w:r>
        <w:rPr>
          <w:b/>
          <w:bCs/>
          <w:color w:val="0000FF"/>
          <w:sz w:val="22"/>
          <w:szCs w:val="22"/>
          <w:lang w:val="en-US"/>
        </w:rPr>
        <w:t xml:space="preserve"> </w:t>
      </w:r>
      <w:r w:rsidR="00106DDD">
        <w:rPr>
          <w:b/>
          <w:bCs/>
          <w:color w:val="0000FF"/>
          <w:sz w:val="22"/>
          <w:szCs w:val="22"/>
          <w:lang w:val="en-US"/>
        </w:rPr>
        <w:t>in</w:t>
      </w:r>
      <w:r w:rsidR="00DD7BD6">
        <w:rPr>
          <w:b/>
          <w:bCs/>
          <w:color w:val="0000FF"/>
          <w:sz w:val="22"/>
          <w:szCs w:val="22"/>
          <w:lang w:val="en-US"/>
        </w:rPr>
        <w:t>crease</w:t>
      </w:r>
      <w:r w:rsidR="00583767">
        <w:rPr>
          <w:b/>
          <w:bCs/>
          <w:color w:val="0000FF"/>
          <w:sz w:val="22"/>
          <w:szCs w:val="22"/>
          <w:lang w:val="en-US"/>
        </w:rPr>
        <w:t>d</w:t>
      </w:r>
      <w:r w:rsidRPr="00EA222B">
        <w:rPr>
          <w:b/>
          <w:bCs/>
          <w:color w:val="0000FF"/>
          <w:sz w:val="22"/>
          <w:szCs w:val="22"/>
          <w:lang w:val="en-US"/>
        </w:rPr>
        <w:t xml:space="preserve"> </w:t>
      </w:r>
      <w:r w:rsidR="00106DDD">
        <w:rPr>
          <w:b/>
          <w:bCs/>
          <w:color w:val="0000FF"/>
          <w:sz w:val="22"/>
          <w:szCs w:val="22"/>
          <w:lang w:val="en-US"/>
        </w:rPr>
        <w:t>6</w:t>
      </w:r>
      <w:r w:rsidR="0080366D">
        <w:rPr>
          <w:b/>
          <w:bCs/>
          <w:color w:val="0000FF"/>
          <w:sz w:val="22"/>
          <w:szCs w:val="22"/>
          <w:lang w:val="en-US"/>
        </w:rPr>
        <w:t>.4</w:t>
      </w:r>
      <w:r w:rsidR="008F2FA7">
        <w:rPr>
          <w:b/>
          <w:bCs/>
          <w:color w:val="0000FF"/>
          <w:sz w:val="22"/>
          <w:szCs w:val="22"/>
          <w:lang w:val="en-US"/>
        </w:rPr>
        <w:t xml:space="preserve"> </w:t>
      </w:r>
      <w:r w:rsidR="003562CE">
        <w:rPr>
          <w:b/>
          <w:bCs/>
          <w:color w:val="0000FF"/>
          <w:sz w:val="22"/>
          <w:szCs w:val="22"/>
          <w:lang w:val="en-US"/>
        </w:rPr>
        <w:t xml:space="preserve">percent </w:t>
      </w:r>
      <w:r w:rsidR="009B7F39">
        <w:rPr>
          <w:b/>
          <w:bCs/>
          <w:color w:val="0000FF"/>
          <w:sz w:val="22"/>
          <w:szCs w:val="22"/>
          <w:lang w:val="en-US"/>
        </w:rPr>
        <w:t>in Q1 2019, with 20 countries re</w:t>
      </w:r>
      <w:r w:rsidR="0036449C">
        <w:rPr>
          <w:b/>
          <w:bCs/>
          <w:color w:val="0000FF"/>
          <w:sz w:val="22"/>
          <w:szCs w:val="22"/>
          <w:lang w:val="en-US"/>
        </w:rPr>
        <w:t xml:space="preserve">cording </w:t>
      </w:r>
      <w:r w:rsidR="009B7F39">
        <w:rPr>
          <w:b/>
          <w:bCs/>
          <w:color w:val="0000FF"/>
          <w:sz w:val="22"/>
          <w:szCs w:val="22"/>
          <w:lang w:val="en-US"/>
        </w:rPr>
        <w:t>an increase in net assets</w:t>
      </w:r>
      <w:r w:rsidR="0036449C">
        <w:rPr>
          <w:b/>
          <w:bCs/>
          <w:color w:val="0000FF"/>
          <w:sz w:val="22"/>
          <w:szCs w:val="22"/>
          <w:lang w:val="en-US"/>
        </w:rPr>
        <w:t>.</w:t>
      </w:r>
    </w:p>
    <w:p w14:paraId="49D700B6" w14:textId="77777777" w:rsidR="007C30BC" w:rsidRDefault="007C30BC" w:rsidP="007C30BC">
      <w:pPr>
        <w:pStyle w:val="FootnoteText"/>
        <w:jc w:val="both"/>
        <w:rPr>
          <w:b/>
          <w:bCs/>
          <w:color w:val="0000FF"/>
          <w:sz w:val="22"/>
          <w:szCs w:val="22"/>
        </w:rPr>
      </w:pPr>
    </w:p>
    <w:p w14:paraId="3C90654C" w14:textId="36C95F6B" w:rsidR="00106DDD" w:rsidRDefault="00106DDD" w:rsidP="00106DDD">
      <w:pPr>
        <w:pStyle w:val="FootnoteText"/>
        <w:jc w:val="both"/>
        <w:rPr>
          <w:bCs/>
          <w:color w:val="000000"/>
          <w:sz w:val="22"/>
          <w:szCs w:val="22"/>
        </w:rPr>
      </w:pPr>
      <w:r w:rsidRPr="00106DDD">
        <w:rPr>
          <w:bCs/>
          <w:color w:val="000000"/>
          <w:sz w:val="22"/>
          <w:szCs w:val="22"/>
        </w:rPr>
        <w:t>The five largest domiciles all recorded net asset growth in Q1 201</w:t>
      </w:r>
      <w:r>
        <w:rPr>
          <w:bCs/>
          <w:color w:val="000000"/>
          <w:sz w:val="22"/>
          <w:szCs w:val="22"/>
        </w:rPr>
        <w:t>9</w:t>
      </w:r>
      <w:r w:rsidRPr="00106DDD">
        <w:rPr>
          <w:bCs/>
          <w:color w:val="000000"/>
          <w:sz w:val="22"/>
          <w:szCs w:val="22"/>
        </w:rPr>
        <w:t xml:space="preserve">, with the largest growth in </w:t>
      </w:r>
      <w:r w:rsidR="00F622CD">
        <w:rPr>
          <w:bCs/>
          <w:color w:val="000000"/>
          <w:sz w:val="22"/>
          <w:szCs w:val="22"/>
        </w:rPr>
        <w:t xml:space="preserve">the United Kingdom (11.7%), </w:t>
      </w:r>
      <w:r w:rsidR="00F622CD" w:rsidRPr="00106DDD">
        <w:rPr>
          <w:bCs/>
          <w:color w:val="000000"/>
          <w:sz w:val="22"/>
          <w:szCs w:val="22"/>
        </w:rPr>
        <w:t>followed by Ireland (</w:t>
      </w:r>
      <w:r w:rsidR="00F622CD">
        <w:rPr>
          <w:bCs/>
          <w:color w:val="000000"/>
          <w:sz w:val="22"/>
          <w:szCs w:val="22"/>
        </w:rPr>
        <w:t>10.0</w:t>
      </w:r>
      <w:r w:rsidR="00F622CD" w:rsidRPr="00106DDD">
        <w:rPr>
          <w:bCs/>
          <w:color w:val="000000"/>
          <w:sz w:val="22"/>
          <w:szCs w:val="22"/>
        </w:rPr>
        <w:t>%), Germany (</w:t>
      </w:r>
      <w:r w:rsidR="00F622CD">
        <w:rPr>
          <w:bCs/>
          <w:color w:val="000000"/>
          <w:sz w:val="22"/>
          <w:szCs w:val="22"/>
        </w:rPr>
        <w:t>5.9</w:t>
      </w:r>
      <w:r w:rsidR="00F622CD" w:rsidRPr="00106DDD">
        <w:rPr>
          <w:bCs/>
          <w:color w:val="000000"/>
          <w:sz w:val="22"/>
          <w:szCs w:val="22"/>
        </w:rPr>
        <w:t>%)</w:t>
      </w:r>
      <w:r w:rsidR="00F622CD">
        <w:rPr>
          <w:bCs/>
          <w:color w:val="000000"/>
          <w:sz w:val="22"/>
          <w:szCs w:val="22"/>
        </w:rPr>
        <w:t xml:space="preserve">, </w:t>
      </w:r>
      <w:r w:rsidR="00F622CD" w:rsidRPr="00106DDD">
        <w:rPr>
          <w:bCs/>
          <w:color w:val="000000"/>
          <w:sz w:val="22"/>
          <w:szCs w:val="22"/>
        </w:rPr>
        <w:t>Luxemb</w:t>
      </w:r>
      <w:r w:rsidR="00C55CDE">
        <w:rPr>
          <w:bCs/>
          <w:color w:val="000000"/>
          <w:sz w:val="22"/>
          <w:szCs w:val="22"/>
        </w:rPr>
        <w:t>o</w:t>
      </w:r>
      <w:r w:rsidR="00F622CD" w:rsidRPr="00106DDD">
        <w:rPr>
          <w:bCs/>
          <w:color w:val="000000"/>
          <w:sz w:val="22"/>
          <w:szCs w:val="22"/>
        </w:rPr>
        <w:t>urg</w:t>
      </w:r>
      <w:r w:rsidR="00F622CD">
        <w:rPr>
          <w:bCs/>
          <w:color w:val="000000"/>
          <w:sz w:val="22"/>
          <w:szCs w:val="22"/>
        </w:rPr>
        <w:t xml:space="preserve"> </w:t>
      </w:r>
      <w:r w:rsidR="00F622CD" w:rsidRPr="00106DDD">
        <w:rPr>
          <w:bCs/>
          <w:color w:val="000000"/>
          <w:sz w:val="22"/>
          <w:szCs w:val="22"/>
        </w:rPr>
        <w:t>(</w:t>
      </w:r>
      <w:r w:rsidR="00F622CD">
        <w:rPr>
          <w:bCs/>
          <w:color w:val="000000"/>
          <w:sz w:val="22"/>
          <w:szCs w:val="22"/>
        </w:rPr>
        <w:t>4.7</w:t>
      </w:r>
      <w:r w:rsidR="00F622CD" w:rsidRPr="00106DDD">
        <w:rPr>
          <w:bCs/>
          <w:color w:val="000000"/>
          <w:sz w:val="22"/>
          <w:szCs w:val="22"/>
        </w:rPr>
        <w:t>%)</w:t>
      </w:r>
      <w:r w:rsidR="00F622CD">
        <w:rPr>
          <w:bCs/>
          <w:color w:val="000000"/>
          <w:sz w:val="22"/>
          <w:szCs w:val="22"/>
        </w:rPr>
        <w:t xml:space="preserve"> and </w:t>
      </w:r>
      <w:r w:rsidR="00F622CD" w:rsidRPr="00106DDD">
        <w:rPr>
          <w:bCs/>
          <w:color w:val="000000"/>
          <w:sz w:val="22"/>
          <w:szCs w:val="22"/>
        </w:rPr>
        <w:t>France (</w:t>
      </w:r>
      <w:r w:rsidR="00F622CD">
        <w:rPr>
          <w:bCs/>
          <w:color w:val="000000"/>
          <w:sz w:val="22"/>
          <w:szCs w:val="22"/>
        </w:rPr>
        <w:t>2.5</w:t>
      </w:r>
      <w:r w:rsidR="00F622CD" w:rsidRPr="00106DDD">
        <w:rPr>
          <w:bCs/>
          <w:color w:val="000000"/>
          <w:sz w:val="22"/>
          <w:szCs w:val="22"/>
        </w:rPr>
        <w:t>%)</w:t>
      </w:r>
      <w:r w:rsidR="00F622CD">
        <w:rPr>
          <w:bCs/>
          <w:color w:val="000000"/>
          <w:sz w:val="22"/>
          <w:szCs w:val="22"/>
        </w:rPr>
        <w:t xml:space="preserve">. </w:t>
      </w:r>
      <w:r w:rsidRPr="00106DDD">
        <w:rPr>
          <w:bCs/>
          <w:color w:val="000000"/>
          <w:sz w:val="22"/>
          <w:szCs w:val="22"/>
        </w:rPr>
        <w:t>Elsewhere in</w:t>
      </w:r>
      <w:r w:rsidR="00F622CD">
        <w:rPr>
          <w:bCs/>
          <w:color w:val="000000"/>
          <w:sz w:val="22"/>
          <w:szCs w:val="22"/>
        </w:rPr>
        <w:t xml:space="preserve"> </w:t>
      </w:r>
      <w:r w:rsidRPr="00106DDD">
        <w:rPr>
          <w:bCs/>
          <w:color w:val="000000"/>
          <w:sz w:val="22"/>
          <w:szCs w:val="22"/>
        </w:rPr>
        <w:t xml:space="preserve">Europe, net assets grew strongly in </w:t>
      </w:r>
      <w:r w:rsidR="00F622CD">
        <w:rPr>
          <w:bCs/>
          <w:color w:val="000000"/>
          <w:sz w:val="22"/>
          <w:szCs w:val="22"/>
        </w:rPr>
        <w:t>Liechtenstein</w:t>
      </w:r>
      <w:r w:rsidRPr="00106DDD">
        <w:rPr>
          <w:bCs/>
          <w:color w:val="000000"/>
          <w:sz w:val="22"/>
          <w:szCs w:val="22"/>
        </w:rPr>
        <w:t xml:space="preserve"> (</w:t>
      </w:r>
      <w:r w:rsidR="00F622CD">
        <w:rPr>
          <w:bCs/>
          <w:color w:val="000000"/>
          <w:sz w:val="22"/>
          <w:szCs w:val="22"/>
        </w:rPr>
        <w:t>20.3</w:t>
      </w:r>
      <w:r w:rsidRPr="00106DDD">
        <w:rPr>
          <w:bCs/>
          <w:color w:val="000000"/>
          <w:sz w:val="22"/>
          <w:szCs w:val="22"/>
        </w:rPr>
        <w:t>%)</w:t>
      </w:r>
      <w:r w:rsidR="00F622CD">
        <w:rPr>
          <w:bCs/>
          <w:color w:val="000000"/>
          <w:sz w:val="22"/>
          <w:szCs w:val="22"/>
        </w:rPr>
        <w:t xml:space="preserve"> </w:t>
      </w:r>
      <w:r w:rsidRPr="00106DDD">
        <w:rPr>
          <w:bCs/>
          <w:color w:val="000000"/>
          <w:sz w:val="22"/>
          <w:szCs w:val="22"/>
        </w:rPr>
        <w:t xml:space="preserve">and </w:t>
      </w:r>
      <w:r w:rsidR="00F622CD">
        <w:rPr>
          <w:bCs/>
          <w:color w:val="000000"/>
          <w:sz w:val="22"/>
          <w:szCs w:val="22"/>
        </w:rPr>
        <w:t xml:space="preserve">Denmark </w:t>
      </w:r>
      <w:r w:rsidRPr="00106DDD">
        <w:rPr>
          <w:bCs/>
          <w:color w:val="000000"/>
          <w:sz w:val="22"/>
          <w:szCs w:val="22"/>
        </w:rPr>
        <w:t>(</w:t>
      </w:r>
      <w:r w:rsidR="00F622CD">
        <w:rPr>
          <w:bCs/>
          <w:color w:val="000000"/>
          <w:sz w:val="22"/>
          <w:szCs w:val="22"/>
        </w:rPr>
        <w:t>9.0</w:t>
      </w:r>
      <w:r w:rsidRPr="00106DDD">
        <w:rPr>
          <w:bCs/>
          <w:color w:val="000000"/>
          <w:sz w:val="22"/>
          <w:szCs w:val="22"/>
        </w:rPr>
        <w:t>%).</w:t>
      </w:r>
    </w:p>
    <w:p w14:paraId="32025FDC" w14:textId="20245703" w:rsidR="004F6F47" w:rsidRDefault="004F6F47" w:rsidP="00106DDD">
      <w:pPr>
        <w:pStyle w:val="FootnoteText"/>
        <w:jc w:val="both"/>
        <w:rPr>
          <w:bCs/>
          <w:color w:val="000000"/>
          <w:sz w:val="22"/>
          <w:szCs w:val="22"/>
        </w:rPr>
      </w:pPr>
    </w:p>
    <w:p w14:paraId="2D2ACAA2" w14:textId="2B29F948" w:rsidR="004F6F47" w:rsidRPr="00106DDD" w:rsidRDefault="004F6F47" w:rsidP="00106DDD">
      <w:pPr>
        <w:pStyle w:val="FootnoteText"/>
        <w:jc w:val="both"/>
        <w:rPr>
          <w:bCs/>
          <w:color w:val="000000"/>
          <w:sz w:val="22"/>
          <w:szCs w:val="22"/>
        </w:rPr>
      </w:pPr>
      <w:r w:rsidRPr="00D32CFA">
        <w:rPr>
          <w:bCs/>
          <w:color w:val="000000"/>
          <w:sz w:val="22"/>
          <w:szCs w:val="22"/>
        </w:rPr>
        <w:t>The</w:t>
      </w:r>
      <w:r w:rsidR="00677784" w:rsidRPr="00D32CFA">
        <w:rPr>
          <w:bCs/>
          <w:color w:val="000000"/>
          <w:sz w:val="22"/>
          <w:szCs w:val="22"/>
        </w:rPr>
        <w:t xml:space="preserve"> </w:t>
      </w:r>
      <w:r w:rsidRPr="00D32CFA">
        <w:rPr>
          <w:bCs/>
          <w:color w:val="000000"/>
          <w:sz w:val="22"/>
          <w:szCs w:val="22"/>
        </w:rPr>
        <w:t xml:space="preserve">large increase in </w:t>
      </w:r>
      <w:r w:rsidR="00926CBC" w:rsidRPr="00D32CFA">
        <w:rPr>
          <w:bCs/>
          <w:color w:val="000000"/>
          <w:sz w:val="22"/>
          <w:szCs w:val="22"/>
        </w:rPr>
        <w:t xml:space="preserve">net </w:t>
      </w:r>
      <w:r w:rsidRPr="00D32CFA">
        <w:rPr>
          <w:bCs/>
          <w:color w:val="000000"/>
          <w:sz w:val="22"/>
          <w:szCs w:val="22"/>
        </w:rPr>
        <w:t xml:space="preserve">assets </w:t>
      </w:r>
      <w:r w:rsidR="00D32CFA">
        <w:rPr>
          <w:bCs/>
          <w:color w:val="000000"/>
          <w:sz w:val="22"/>
          <w:szCs w:val="22"/>
        </w:rPr>
        <w:t>in</w:t>
      </w:r>
      <w:r w:rsidRPr="00D32CFA">
        <w:rPr>
          <w:bCs/>
          <w:color w:val="000000"/>
          <w:sz w:val="22"/>
          <w:szCs w:val="22"/>
        </w:rPr>
        <w:t xml:space="preserve"> Switzerland (37.7%) </w:t>
      </w:r>
      <w:r w:rsidR="00C55CDE">
        <w:rPr>
          <w:bCs/>
          <w:color w:val="000000"/>
          <w:sz w:val="22"/>
          <w:szCs w:val="22"/>
        </w:rPr>
        <w:t>was</w:t>
      </w:r>
      <w:r w:rsidR="00677784" w:rsidRPr="00D32CFA">
        <w:rPr>
          <w:bCs/>
          <w:color w:val="000000"/>
          <w:sz w:val="22"/>
          <w:szCs w:val="22"/>
        </w:rPr>
        <w:t xml:space="preserve"> driven by strong </w:t>
      </w:r>
      <w:r w:rsidR="00076BDF" w:rsidRPr="00D32CFA">
        <w:rPr>
          <w:bCs/>
          <w:color w:val="000000"/>
          <w:sz w:val="22"/>
          <w:szCs w:val="22"/>
        </w:rPr>
        <w:t xml:space="preserve">net </w:t>
      </w:r>
      <w:r w:rsidR="00677784" w:rsidRPr="00D32CFA">
        <w:rPr>
          <w:bCs/>
          <w:color w:val="000000"/>
          <w:sz w:val="22"/>
          <w:szCs w:val="22"/>
        </w:rPr>
        <w:t xml:space="preserve">sales </w:t>
      </w:r>
      <w:r w:rsidR="00076BDF" w:rsidRPr="00D32CFA">
        <w:rPr>
          <w:bCs/>
          <w:color w:val="000000"/>
          <w:sz w:val="22"/>
          <w:szCs w:val="22"/>
        </w:rPr>
        <w:t>in Q1 2019</w:t>
      </w:r>
      <w:r w:rsidR="00C55CDE">
        <w:rPr>
          <w:bCs/>
          <w:color w:val="000000"/>
          <w:sz w:val="22"/>
          <w:szCs w:val="22"/>
        </w:rPr>
        <w:t xml:space="preserve"> and an increase in the coverage of </w:t>
      </w:r>
      <w:r w:rsidR="00677784" w:rsidRPr="00D32CFA">
        <w:rPr>
          <w:bCs/>
          <w:color w:val="000000"/>
          <w:sz w:val="22"/>
          <w:szCs w:val="22"/>
        </w:rPr>
        <w:t xml:space="preserve">Swiss </w:t>
      </w:r>
      <w:r w:rsidR="006F4E5C" w:rsidRPr="00D32CFA">
        <w:rPr>
          <w:bCs/>
          <w:color w:val="000000"/>
          <w:sz w:val="22"/>
          <w:szCs w:val="22"/>
        </w:rPr>
        <w:t>funds.</w:t>
      </w:r>
    </w:p>
    <w:p w14:paraId="670223BC" w14:textId="690D8E0F" w:rsidR="00106DDD" w:rsidRDefault="00106DDD" w:rsidP="00106DDD">
      <w:pPr>
        <w:pStyle w:val="FootnoteText"/>
        <w:jc w:val="both"/>
        <w:rPr>
          <w:bCs/>
          <w:color w:val="000000"/>
          <w:sz w:val="22"/>
          <w:szCs w:val="22"/>
        </w:rPr>
      </w:pPr>
    </w:p>
    <w:p w14:paraId="22BAA9DF" w14:textId="7D9CA611" w:rsidR="00106DDD" w:rsidRPr="00106DDD" w:rsidRDefault="004F6F47" w:rsidP="00106DDD">
      <w:pPr>
        <w:pStyle w:val="FootnoteText"/>
        <w:jc w:val="both"/>
        <w:rPr>
          <w:bCs/>
          <w:color w:val="000000"/>
          <w:sz w:val="22"/>
          <w:szCs w:val="22"/>
        </w:rPr>
      </w:pPr>
      <w:r w:rsidRPr="00922A53">
        <w:rPr>
          <w:noProof/>
          <w:lang w:val="nl-BE" w:eastAsia="nl-BE"/>
        </w:rPr>
        <w:drawing>
          <wp:anchor distT="0" distB="0" distL="114300" distR="114300" simplePos="0" relativeHeight="251789312" behindDoc="0" locked="0" layoutInCell="1" allowOverlap="1" wp14:anchorId="35F06568" wp14:editId="72D64FFC">
            <wp:simplePos x="0" y="0"/>
            <wp:positionH relativeFrom="margin">
              <wp:align>center</wp:align>
            </wp:positionH>
            <wp:positionV relativeFrom="paragraph">
              <wp:posOffset>13970</wp:posOffset>
            </wp:positionV>
            <wp:extent cx="4572000" cy="61531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0" cy="6153150"/>
                    </a:xfrm>
                    <a:prstGeom prst="rect">
                      <a:avLst/>
                    </a:prstGeom>
                    <a:noFill/>
                    <a:ln>
                      <a:noFill/>
                    </a:ln>
                  </pic:spPr>
                </pic:pic>
              </a:graphicData>
            </a:graphic>
          </wp:anchor>
        </w:drawing>
      </w:r>
    </w:p>
    <w:p w14:paraId="781FB4DB" w14:textId="2D06EC1B" w:rsidR="007C30BC" w:rsidRPr="001B65E9" w:rsidRDefault="007C30BC" w:rsidP="00104F7D">
      <w:pPr>
        <w:pStyle w:val="Footer"/>
        <w:jc w:val="center"/>
        <w:outlineLvl w:val="0"/>
        <w:rPr>
          <w:b/>
          <w:bCs/>
          <w:sz w:val="28"/>
          <w:szCs w:val="28"/>
          <w:lang w:val="en-US"/>
          <w14:shadow w14:blurRad="50800" w14:dist="38100" w14:dir="2700000" w14:sx="100000" w14:sy="100000" w14:kx="0" w14:ky="0" w14:algn="tl">
            <w14:srgbClr w14:val="000000">
              <w14:alpha w14:val="60000"/>
            </w14:srgbClr>
          </w14:shadow>
        </w:rPr>
      </w:pPr>
    </w:p>
    <w:p w14:paraId="736A3EC0" w14:textId="77777777" w:rsidR="00261CDE" w:rsidRPr="001B65E9" w:rsidRDefault="00261CDE" w:rsidP="00104F7D">
      <w:pPr>
        <w:pStyle w:val="Footer"/>
        <w:jc w:val="center"/>
        <w:outlineLvl w:val="0"/>
        <w:rPr>
          <w:b/>
          <w:bCs/>
          <w:sz w:val="28"/>
          <w:szCs w:val="28"/>
          <w:lang w:val="en-US"/>
          <w14:shadow w14:blurRad="50800" w14:dist="38100" w14:dir="2700000" w14:sx="100000" w14:sy="100000" w14:kx="0" w14:ky="0" w14:algn="tl">
            <w14:srgbClr w14:val="000000">
              <w14:alpha w14:val="60000"/>
            </w14:srgbClr>
          </w14:shadow>
        </w:rPr>
      </w:pPr>
    </w:p>
    <w:p w14:paraId="4DF63C11" w14:textId="77777777" w:rsidR="00D56687" w:rsidRPr="001B65E9" w:rsidRDefault="00D56687" w:rsidP="00104F7D">
      <w:pPr>
        <w:pStyle w:val="Footer"/>
        <w:jc w:val="center"/>
        <w:outlineLvl w:val="0"/>
        <w:rPr>
          <w:b/>
          <w:bCs/>
          <w:sz w:val="28"/>
          <w:szCs w:val="28"/>
          <w:lang w:val="en-US"/>
          <w14:shadow w14:blurRad="50800" w14:dist="38100" w14:dir="2700000" w14:sx="100000" w14:sy="100000" w14:kx="0" w14:ky="0" w14:algn="tl">
            <w14:srgbClr w14:val="000000">
              <w14:alpha w14:val="60000"/>
            </w14:srgbClr>
          </w14:shadow>
        </w:rPr>
      </w:pPr>
    </w:p>
    <w:p w14:paraId="7A6B3CCD" w14:textId="77777777" w:rsidR="003C52D0" w:rsidRPr="001B65E9" w:rsidRDefault="00A6458D" w:rsidP="003C52D0">
      <w:pPr>
        <w:pStyle w:val="Footer"/>
        <w:jc w:val="center"/>
        <w:outlineLvl w:val="0"/>
        <w:rPr>
          <w:b/>
          <w:bCs/>
          <w:sz w:val="28"/>
          <w:szCs w:val="28"/>
          <w:lang w:val="en-US"/>
          <w14:shadow w14:blurRad="50800" w14:dist="38100" w14:dir="2700000" w14:sx="100000" w14:sy="100000" w14:kx="0" w14:ky="0" w14:algn="tl">
            <w14:srgbClr w14:val="000000">
              <w14:alpha w14:val="60000"/>
            </w14:srgbClr>
          </w14:shadow>
        </w:rPr>
      </w:pPr>
      <w:r w:rsidRPr="001B65E9">
        <w:rPr>
          <w:b/>
          <w:bCs/>
          <w:sz w:val="28"/>
          <w:szCs w:val="28"/>
          <w:lang w:val="en-US"/>
          <w14:shadow w14:blurRad="50800" w14:dist="38100" w14:dir="2700000" w14:sx="100000" w14:sy="100000" w14:kx="0" w14:ky="0" w14:algn="tl">
            <w14:srgbClr w14:val="000000">
              <w14:alpha w14:val="60000"/>
            </w14:srgbClr>
          </w14:shadow>
        </w:rPr>
        <w:br w:type="page"/>
      </w:r>
      <w:r w:rsidR="003C52D0" w:rsidRPr="001B65E9">
        <w:rPr>
          <w:b/>
          <w:bCs/>
          <w:sz w:val="28"/>
          <w:szCs w:val="28"/>
          <w:lang w:val="en-US"/>
          <w14:shadow w14:blurRad="50800" w14:dist="38100" w14:dir="2700000" w14:sx="100000" w14:sy="100000" w14:kx="0" w14:ky="0" w14:algn="tl">
            <w14:srgbClr w14:val="000000">
              <w14:alpha w14:val="60000"/>
            </w14:srgbClr>
          </w14:shadow>
        </w:rPr>
        <w:lastRenderedPageBreak/>
        <w:t xml:space="preserve">Trends in the </w:t>
      </w:r>
      <w:r w:rsidR="00757DE9" w:rsidRPr="001B65E9">
        <w:rPr>
          <w:b/>
          <w:bCs/>
          <w:sz w:val="28"/>
          <w:szCs w:val="28"/>
          <w:lang w:val="en-US"/>
          <w14:shadow w14:blurRad="50800" w14:dist="38100" w14:dir="2700000" w14:sx="100000" w14:sy="100000" w14:kx="0" w14:ky="0" w14:algn="tl">
            <w14:srgbClr w14:val="000000">
              <w14:alpha w14:val="60000"/>
            </w14:srgbClr>
          </w14:shadow>
        </w:rPr>
        <w:t>European I</w:t>
      </w:r>
      <w:r w:rsidR="003C52D0" w:rsidRPr="001B65E9">
        <w:rPr>
          <w:b/>
          <w:bCs/>
          <w:sz w:val="28"/>
          <w:szCs w:val="28"/>
          <w:lang w:val="en-US"/>
          <w14:shadow w14:blurRad="50800" w14:dist="38100" w14:dir="2700000" w14:sx="100000" w14:sy="100000" w14:kx="0" w14:ky="0" w14:algn="tl">
            <w14:srgbClr w14:val="000000">
              <w14:alpha w14:val="60000"/>
            </w14:srgbClr>
          </w14:shadow>
        </w:rPr>
        <w:t>nvestment Fund Industry</w:t>
      </w:r>
    </w:p>
    <w:p w14:paraId="7F088280" w14:textId="77777777" w:rsidR="003C52D0" w:rsidRPr="001B65E9" w:rsidRDefault="003C52D0" w:rsidP="003C52D0">
      <w:pPr>
        <w:pStyle w:val="Footer"/>
        <w:jc w:val="center"/>
        <w:outlineLvl w:val="0"/>
        <w:rPr>
          <w:b/>
          <w:bCs/>
          <w:i/>
          <w:iCs/>
          <w:sz w:val="28"/>
          <w:szCs w:val="28"/>
          <w:lang w:val="en-US"/>
          <w14:shadow w14:blurRad="50800" w14:dist="38100" w14:dir="2700000" w14:sx="100000" w14:sy="100000" w14:kx="0" w14:ky="0" w14:algn="tl">
            <w14:srgbClr w14:val="000000">
              <w14:alpha w14:val="60000"/>
            </w14:srgbClr>
          </w14:shadow>
        </w:rPr>
      </w:pPr>
      <w:r w:rsidRPr="001B65E9">
        <w:rPr>
          <w:b/>
          <w:bCs/>
          <w:i/>
          <w:iCs/>
          <w:sz w:val="28"/>
          <w:szCs w:val="28"/>
          <w:lang w:val="en-US"/>
          <w14:shadow w14:blurRad="50800" w14:dist="38100" w14:dir="2700000" w14:sx="100000" w14:sy="100000" w14:kx="0" w14:ky="0" w14:algn="tl">
            <w14:srgbClr w14:val="000000">
              <w14:alpha w14:val="60000"/>
            </w14:srgbClr>
          </w14:shadow>
        </w:rPr>
        <w:t>Net Sales by Investment Type</w:t>
      </w:r>
    </w:p>
    <w:p w14:paraId="0483566C" w14:textId="77777777" w:rsidR="003C52D0" w:rsidRDefault="003C52D0" w:rsidP="003C52D0">
      <w:pPr>
        <w:pStyle w:val="Footer"/>
        <w:tabs>
          <w:tab w:val="left" w:pos="720"/>
          <w:tab w:val="left" w:pos="4320"/>
        </w:tabs>
        <w:spacing w:line="260" w:lineRule="exact"/>
        <w:jc w:val="both"/>
        <w:rPr>
          <w:sz w:val="22"/>
          <w:szCs w:val="22"/>
          <w:lang w:val="en-US"/>
        </w:rPr>
      </w:pPr>
    </w:p>
    <w:p w14:paraId="3D9732B2" w14:textId="044D1A6C" w:rsidR="003C52D0" w:rsidRDefault="009331D3" w:rsidP="003C52D0">
      <w:pPr>
        <w:pStyle w:val="Footer"/>
        <w:tabs>
          <w:tab w:val="left" w:pos="720"/>
          <w:tab w:val="left" w:pos="4320"/>
        </w:tabs>
        <w:spacing w:line="260" w:lineRule="exact"/>
        <w:jc w:val="both"/>
        <w:rPr>
          <w:b/>
          <w:bCs/>
          <w:color w:val="0000FF"/>
          <w:sz w:val="22"/>
          <w:szCs w:val="22"/>
          <w:lang w:val="en-US"/>
        </w:rPr>
      </w:pPr>
      <w:r w:rsidRPr="00654E5B">
        <w:rPr>
          <w:b/>
          <w:color w:val="0000FF"/>
          <w:sz w:val="22"/>
          <w:szCs w:val="22"/>
        </w:rPr>
        <w:t xml:space="preserve">The </w:t>
      </w:r>
      <w:r>
        <w:rPr>
          <w:b/>
          <w:color w:val="0000FF"/>
          <w:sz w:val="22"/>
          <w:szCs w:val="22"/>
        </w:rPr>
        <w:t>net sales</w:t>
      </w:r>
      <w:r w:rsidRPr="00654E5B">
        <w:rPr>
          <w:b/>
          <w:color w:val="0000FF"/>
          <w:sz w:val="22"/>
          <w:szCs w:val="22"/>
        </w:rPr>
        <w:t xml:space="preserve"> of </w:t>
      </w:r>
      <w:r>
        <w:rPr>
          <w:b/>
          <w:color w:val="0000FF"/>
          <w:sz w:val="22"/>
          <w:szCs w:val="22"/>
        </w:rPr>
        <w:t>UCITS and AIF</w:t>
      </w:r>
      <w:r w:rsidR="0078322A">
        <w:rPr>
          <w:b/>
          <w:color w:val="0000FF"/>
          <w:sz w:val="22"/>
          <w:szCs w:val="22"/>
        </w:rPr>
        <w:t>s</w:t>
      </w:r>
      <w:r w:rsidR="00F67028">
        <w:rPr>
          <w:b/>
          <w:color w:val="0000FF"/>
          <w:sz w:val="22"/>
          <w:szCs w:val="22"/>
        </w:rPr>
        <w:t xml:space="preserve"> </w:t>
      </w:r>
      <w:r w:rsidR="004F6F47">
        <w:rPr>
          <w:b/>
          <w:bCs/>
          <w:color w:val="0000FF"/>
          <w:sz w:val="22"/>
          <w:szCs w:val="22"/>
          <w:lang w:val="en-US"/>
        </w:rPr>
        <w:t>amounted to</w:t>
      </w:r>
      <w:r w:rsidR="003C52D0">
        <w:rPr>
          <w:b/>
          <w:bCs/>
          <w:color w:val="0000FF"/>
          <w:sz w:val="22"/>
          <w:szCs w:val="22"/>
          <w:lang w:val="en-US"/>
        </w:rPr>
        <w:t xml:space="preserve"> EUR </w:t>
      </w:r>
      <w:r w:rsidR="00810838">
        <w:rPr>
          <w:b/>
          <w:bCs/>
          <w:color w:val="0000FF"/>
          <w:sz w:val="22"/>
          <w:szCs w:val="22"/>
          <w:lang w:val="en-US"/>
        </w:rPr>
        <w:t>78</w:t>
      </w:r>
      <w:r w:rsidR="005E4E8A">
        <w:rPr>
          <w:b/>
          <w:bCs/>
          <w:color w:val="0000FF"/>
          <w:sz w:val="22"/>
          <w:szCs w:val="22"/>
          <w:lang w:val="en-US"/>
        </w:rPr>
        <w:t xml:space="preserve"> </w:t>
      </w:r>
      <w:r w:rsidR="003C52D0">
        <w:rPr>
          <w:b/>
          <w:bCs/>
          <w:color w:val="0000FF"/>
          <w:sz w:val="22"/>
          <w:szCs w:val="22"/>
          <w:lang w:val="en-US"/>
        </w:rPr>
        <w:t xml:space="preserve">billion </w:t>
      </w:r>
      <w:r w:rsidR="0096009E">
        <w:rPr>
          <w:b/>
          <w:bCs/>
          <w:color w:val="0000FF"/>
          <w:sz w:val="22"/>
          <w:szCs w:val="22"/>
          <w:lang w:val="en-US"/>
        </w:rPr>
        <w:t xml:space="preserve">in </w:t>
      </w:r>
      <w:r w:rsidR="00976E18">
        <w:rPr>
          <w:b/>
          <w:bCs/>
          <w:color w:val="0000FF"/>
          <w:sz w:val="22"/>
          <w:szCs w:val="22"/>
          <w:lang w:val="en-US"/>
        </w:rPr>
        <w:t>Q1 201</w:t>
      </w:r>
      <w:r w:rsidR="00810838">
        <w:rPr>
          <w:b/>
          <w:bCs/>
          <w:color w:val="0000FF"/>
          <w:sz w:val="22"/>
          <w:szCs w:val="22"/>
          <w:lang w:val="en-US"/>
        </w:rPr>
        <w:t>9</w:t>
      </w:r>
      <w:r w:rsidR="003C0DD0">
        <w:rPr>
          <w:b/>
          <w:bCs/>
          <w:color w:val="0000FF"/>
          <w:sz w:val="22"/>
          <w:szCs w:val="22"/>
          <w:lang w:val="en-US"/>
        </w:rPr>
        <w:t xml:space="preserve">, compared to </w:t>
      </w:r>
      <w:r w:rsidR="00810838">
        <w:rPr>
          <w:b/>
          <w:bCs/>
          <w:color w:val="0000FF"/>
          <w:sz w:val="22"/>
          <w:szCs w:val="22"/>
          <w:lang w:val="en-US"/>
        </w:rPr>
        <w:t xml:space="preserve">net outflows of </w:t>
      </w:r>
      <w:r w:rsidR="003C0DD0">
        <w:rPr>
          <w:b/>
          <w:bCs/>
          <w:color w:val="0000FF"/>
          <w:sz w:val="22"/>
          <w:szCs w:val="22"/>
          <w:lang w:val="en-US"/>
        </w:rPr>
        <w:t xml:space="preserve">EUR </w:t>
      </w:r>
      <w:r w:rsidR="00810838">
        <w:rPr>
          <w:b/>
          <w:bCs/>
          <w:color w:val="0000FF"/>
          <w:sz w:val="22"/>
          <w:szCs w:val="22"/>
          <w:lang w:val="en-US"/>
        </w:rPr>
        <w:t>48</w:t>
      </w:r>
      <w:r w:rsidR="005E4E8A">
        <w:rPr>
          <w:b/>
          <w:bCs/>
          <w:color w:val="0000FF"/>
          <w:sz w:val="22"/>
          <w:szCs w:val="22"/>
          <w:lang w:val="en-US"/>
        </w:rPr>
        <w:t xml:space="preserve"> </w:t>
      </w:r>
      <w:r w:rsidR="003C52D0">
        <w:rPr>
          <w:b/>
          <w:bCs/>
          <w:color w:val="0000FF"/>
          <w:sz w:val="22"/>
          <w:szCs w:val="22"/>
          <w:lang w:val="en-US"/>
        </w:rPr>
        <w:t>billion i</w:t>
      </w:r>
      <w:r w:rsidR="003C0DD0">
        <w:rPr>
          <w:b/>
          <w:bCs/>
          <w:color w:val="0000FF"/>
          <w:sz w:val="22"/>
          <w:szCs w:val="22"/>
          <w:lang w:val="en-US"/>
        </w:rPr>
        <w:t xml:space="preserve">n </w:t>
      </w:r>
      <w:r w:rsidR="00976E18">
        <w:rPr>
          <w:b/>
          <w:bCs/>
          <w:color w:val="0000FF"/>
          <w:sz w:val="22"/>
          <w:szCs w:val="22"/>
          <w:lang w:val="en-US"/>
        </w:rPr>
        <w:t>the last quarter of 201</w:t>
      </w:r>
      <w:r w:rsidR="00810838">
        <w:rPr>
          <w:b/>
          <w:bCs/>
          <w:color w:val="0000FF"/>
          <w:sz w:val="22"/>
          <w:szCs w:val="22"/>
          <w:lang w:val="en-US"/>
        </w:rPr>
        <w:t>8</w:t>
      </w:r>
      <w:r w:rsidR="003C52D0">
        <w:rPr>
          <w:b/>
          <w:bCs/>
          <w:color w:val="0000FF"/>
          <w:sz w:val="22"/>
          <w:szCs w:val="22"/>
          <w:lang w:val="en-US"/>
        </w:rPr>
        <w:t>.</w:t>
      </w:r>
    </w:p>
    <w:p w14:paraId="6C8098C0" w14:textId="77777777" w:rsidR="003C52D0" w:rsidRDefault="003C52D0" w:rsidP="003C52D0">
      <w:pPr>
        <w:pStyle w:val="Footer"/>
        <w:tabs>
          <w:tab w:val="left" w:pos="720"/>
          <w:tab w:val="left" w:pos="4320"/>
        </w:tabs>
        <w:spacing w:line="260" w:lineRule="exact"/>
        <w:jc w:val="both"/>
        <w:rPr>
          <w:b/>
          <w:bCs/>
          <w:color w:val="0000FF"/>
          <w:sz w:val="22"/>
          <w:szCs w:val="22"/>
        </w:rPr>
      </w:pPr>
      <w:r>
        <w:rPr>
          <w:b/>
          <w:bCs/>
          <w:color w:val="0000FF"/>
          <w:sz w:val="22"/>
          <w:szCs w:val="22"/>
        </w:rPr>
        <w:t xml:space="preserve"> </w:t>
      </w:r>
    </w:p>
    <w:p w14:paraId="6C673DFB" w14:textId="740CE46E" w:rsidR="00DC5844" w:rsidRDefault="006E162F" w:rsidP="00C0196C">
      <w:pPr>
        <w:pStyle w:val="Footer"/>
        <w:tabs>
          <w:tab w:val="left" w:pos="720"/>
          <w:tab w:val="left" w:pos="4320"/>
        </w:tabs>
        <w:spacing w:line="260" w:lineRule="exact"/>
        <w:jc w:val="both"/>
        <w:rPr>
          <w:bCs/>
          <w:color w:val="000000"/>
          <w:sz w:val="22"/>
          <w:szCs w:val="22"/>
        </w:rPr>
      </w:pPr>
      <w:r>
        <w:rPr>
          <w:bCs/>
          <w:color w:val="000000"/>
          <w:sz w:val="22"/>
          <w:szCs w:val="22"/>
        </w:rPr>
        <w:t>E</w:t>
      </w:r>
      <w:r w:rsidR="003C52D0" w:rsidRPr="00A7353F">
        <w:rPr>
          <w:bCs/>
          <w:color w:val="000000"/>
          <w:sz w:val="22"/>
          <w:szCs w:val="22"/>
        </w:rPr>
        <w:t xml:space="preserve">quity funds </w:t>
      </w:r>
      <w:r w:rsidR="00810838">
        <w:rPr>
          <w:bCs/>
          <w:color w:val="000000"/>
          <w:sz w:val="22"/>
          <w:szCs w:val="22"/>
        </w:rPr>
        <w:t xml:space="preserve">recorded </w:t>
      </w:r>
      <w:r w:rsidR="00810838" w:rsidRPr="00810838">
        <w:rPr>
          <w:bCs/>
          <w:color w:val="000000"/>
          <w:sz w:val="22"/>
          <w:szCs w:val="22"/>
        </w:rPr>
        <w:t xml:space="preserve">net outflows of EUR </w:t>
      </w:r>
      <w:r w:rsidR="00810838">
        <w:rPr>
          <w:bCs/>
          <w:color w:val="000000"/>
          <w:sz w:val="22"/>
          <w:szCs w:val="22"/>
        </w:rPr>
        <w:t>38</w:t>
      </w:r>
      <w:r w:rsidR="00810838" w:rsidRPr="00810838">
        <w:rPr>
          <w:bCs/>
          <w:color w:val="000000"/>
          <w:sz w:val="22"/>
          <w:szCs w:val="22"/>
        </w:rPr>
        <w:t xml:space="preserve"> billion, compared to net inflows of EUR </w:t>
      </w:r>
      <w:r w:rsidR="00810838">
        <w:rPr>
          <w:bCs/>
          <w:color w:val="000000"/>
          <w:sz w:val="22"/>
          <w:szCs w:val="22"/>
        </w:rPr>
        <w:t>3</w:t>
      </w:r>
      <w:r w:rsidR="00810838" w:rsidRPr="00810838">
        <w:rPr>
          <w:bCs/>
          <w:color w:val="000000"/>
          <w:sz w:val="22"/>
          <w:szCs w:val="22"/>
        </w:rPr>
        <w:t xml:space="preserve"> billion in </w:t>
      </w:r>
      <w:r w:rsidR="00810838">
        <w:rPr>
          <w:bCs/>
          <w:color w:val="000000"/>
          <w:sz w:val="22"/>
          <w:szCs w:val="22"/>
        </w:rPr>
        <w:t>Q4 2018</w:t>
      </w:r>
      <w:r w:rsidR="00810838" w:rsidRPr="00810838">
        <w:rPr>
          <w:bCs/>
          <w:color w:val="000000"/>
          <w:sz w:val="22"/>
          <w:szCs w:val="22"/>
        </w:rPr>
        <w:t>.</w:t>
      </w:r>
      <w:r w:rsidR="00810838">
        <w:rPr>
          <w:bCs/>
          <w:color w:val="000000"/>
          <w:sz w:val="22"/>
          <w:szCs w:val="22"/>
        </w:rPr>
        <w:t xml:space="preserve"> B</w:t>
      </w:r>
      <w:r w:rsidR="00810838" w:rsidRPr="00A7353F">
        <w:rPr>
          <w:bCs/>
          <w:color w:val="000000"/>
          <w:sz w:val="22"/>
          <w:szCs w:val="22"/>
        </w:rPr>
        <w:t xml:space="preserve">ond funds </w:t>
      </w:r>
      <w:r w:rsidR="00810838" w:rsidRPr="00810838">
        <w:rPr>
          <w:bCs/>
          <w:color w:val="000000"/>
          <w:sz w:val="22"/>
          <w:szCs w:val="22"/>
        </w:rPr>
        <w:t xml:space="preserve">sales turned positive in </w:t>
      </w:r>
      <w:r w:rsidR="00810838">
        <w:rPr>
          <w:bCs/>
          <w:color w:val="000000"/>
          <w:sz w:val="22"/>
          <w:szCs w:val="22"/>
        </w:rPr>
        <w:t>Q1 2019</w:t>
      </w:r>
      <w:r w:rsidR="00810838" w:rsidRPr="00810838">
        <w:rPr>
          <w:bCs/>
          <w:color w:val="000000"/>
          <w:sz w:val="22"/>
          <w:szCs w:val="22"/>
        </w:rPr>
        <w:t xml:space="preserve">, with net inflows of EUR </w:t>
      </w:r>
      <w:r w:rsidR="00810838">
        <w:rPr>
          <w:bCs/>
          <w:color w:val="000000"/>
          <w:sz w:val="22"/>
          <w:szCs w:val="22"/>
        </w:rPr>
        <w:t>8</w:t>
      </w:r>
      <w:r w:rsidR="00810838" w:rsidRPr="00810838">
        <w:rPr>
          <w:bCs/>
          <w:color w:val="000000"/>
          <w:sz w:val="22"/>
          <w:szCs w:val="22"/>
        </w:rPr>
        <w:t xml:space="preserve">2 billion, compared to net outflows of EUR </w:t>
      </w:r>
      <w:r w:rsidR="00810838">
        <w:rPr>
          <w:bCs/>
          <w:color w:val="000000"/>
          <w:sz w:val="22"/>
          <w:szCs w:val="22"/>
        </w:rPr>
        <w:t>48</w:t>
      </w:r>
      <w:r w:rsidR="00810838" w:rsidRPr="00810838">
        <w:rPr>
          <w:bCs/>
          <w:color w:val="000000"/>
          <w:sz w:val="22"/>
          <w:szCs w:val="22"/>
        </w:rPr>
        <w:t xml:space="preserve"> billion in </w:t>
      </w:r>
      <w:r w:rsidR="00810838">
        <w:rPr>
          <w:bCs/>
          <w:color w:val="000000"/>
          <w:sz w:val="22"/>
          <w:szCs w:val="22"/>
        </w:rPr>
        <w:t>Q4 2018</w:t>
      </w:r>
      <w:r w:rsidR="00810838" w:rsidRPr="00810838">
        <w:rPr>
          <w:bCs/>
          <w:color w:val="000000"/>
          <w:sz w:val="22"/>
          <w:szCs w:val="22"/>
        </w:rPr>
        <w:t>.</w:t>
      </w:r>
      <w:r w:rsidR="00DC5844">
        <w:rPr>
          <w:bCs/>
          <w:color w:val="000000"/>
          <w:sz w:val="22"/>
          <w:szCs w:val="22"/>
        </w:rPr>
        <w:t xml:space="preserve"> </w:t>
      </w:r>
      <w:r w:rsidR="00617CF4">
        <w:rPr>
          <w:bCs/>
          <w:color w:val="000000"/>
          <w:sz w:val="22"/>
          <w:szCs w:val="22"/>
        </w:rPr>
        <w:t xml:space="preserve">Net sales of multi-asset funds totalled EUR </w:t>
      </w:r>
      <w:r w:rsidR="00B008C9">
        <w:rPr>
          <w:bCs/>
          <w:color w:val="000000"/>
          <w:sz w:val="22"/>
          <w:szCs w:val="22"/>
        </w:rPr>
        <w:t>7</w:t>
      </w:r>
      <w:r w:rsidR="005E4E8A">
        <w:rPr>
          <w:bCs/>
          <w:color w:val="000000"/>
          <w:sz w:val="22"/>
          <w:szCs w:val="22"/>
        </w:rPr>
        <w:t xml:space="preserve"> </w:t>
      </w:r>
      <w:r w:rsidR="00617CF4">
        <w:rPr>
          <w:bCs/>
          <w:color w:val="000000"/>
          <w:sz w:val="22"/>
          <w:szCs w:val="22"/>
        </w:rPr>
        <w:t>billion</w:t>
      </w:r>
      <w:r>
        <w:rPr>
          <w:bCs/>
          <w:color w:val="000000"/>
          <w:sz w:val="22"/>
          <w:szCs w:val="22"/>
        </w:rPr>
        <w:t xml:space="preserve">, </w:t>
      </w:r>
      <w:r w:rsidR="00DC5844">
        <w:rPr>
          <w:bCs/>
          <w:color w:val="000000"/>
          <w:sz w:val="22"/>
          <w:szCs w:val="22"/>
        </w:rPr>
        <w:t>compared to net outflows of</w:t>
      </w:r>
      <w:r>
        <w:rPr>
          <w:bCs/>
          <w:color w:val="000000"/>
          <w:sz w:val="22"/>
          <w:szCs w:val="22"/>
        </w:rPr>
        <w:t xml:space="preserve"> EUR</w:t>
      </w:r>
      <w:r w:rsidR="00DC5844">
        <w:rPr>
          <w:bCs/>
          <w:color w:val="000000"/>
          <w:sz w:val="22"/>
          <w:szCs w:val="22"/>
        </w:rPr>
        <w:t xml:space="preserve"> 7</w:t>
      </w:r>
      <w:r w:rsidR="00B23E86">
        <w:rPr>
          <w:bCs/>
          <w:color w:val="000000"/>
          <w:sz w:val="22"/>
          <w:szCs w:val="22"/>
        </w:rPr>
        <w:t xml:space="preserve"> </w:t>
      </w:r>
      <w:r>
        <w:rPr>
          <w:bCs/>
          <w:color w:val="000000"/>
          <w:sz w:val="22"/>
          <w:szCs w:val="22"/>
        </w:rPr>
        <w:t>b</w:t>
      </w:r>
      <w:r w:rsidR="001B2438">
        <w:rPr>
          <w:bCs/>
          <w:color w:val="000000"/>
          <w:sz w:val="22"/>
          <w:szCs w:val="22"/>
        </w:rPr>
        <w:t>illio</w:t>
      </w:r>
      <w:r>
        <w:rPr>
          <w:bCs/>
          <w:color w:val="000000"/>
          <w:sz w:val="22"/>
          <w:szCs w:val="22"/>
        </w:rPr>
        <w:t xml:space="preserve">n in </w:t>
      </w:r>
      <w:r w:rsidR="00C55CDE">
        <w:rPr>
          <w:bCs/>
          <w:color w:val="000000"/>
          <w:sz w:val="22"/>
          <w:szCs w:val="22"/>
        </w:rPr>
        <w:t>Q4 2018</w:t>
      </w:r>
      <w:r w:rsidR="00617CF4">
        <w:rPr>
          <w:bCs/>
          <w:color w:val="000000"/>
          <w:sz w:val="22"/>
          <w:szCs w:val="22"/>
        </w:rPr>
        <w:t xml:space="preserve">. </w:t>
      </w:r>
    </w:p>
    <w:p w14:paraId="7504FD15" w14:textId="77777777" w:rsidR="000F3986" w:rsidRDefault="000F3986" w:rsidP="00C0196C">
      <w:pPr>
        <w:pStyle w:val="Footer"/>
        <w:tabs>
          <w:tab w:val="left" w:pos="720"/>
          <w:tab w:val="left" w:pos="4320"/>
        </w:tabs>
        <w:spacing w:line="260" w:lineRule="exact"/>
        <w:jc w:val="both"/>
        <w:rPr>
          <w:bCs/>
          <w:color w:val="000000"/>
          <w:sz w:val="22"/>
          <w:szCs w:val="22"/>
        </w:rPr>
      </w:pPr>
    </w:p>
    <w:p w14:paraId="1C70DF89" w14:textId="2DA44BF8" w:rsidR="00C0196C" w:rsidRDefault="00617CF4" w:rsidP="00C0196C">
      <w:pPr>
        <w:pStyle w:val="Footer"/>
        <w:tabs>
          <w:tab w:val="left" w:pos="720"/>
          <w:tab w:val="left" w:pos="4320"/>
        </w:tabs>
        <w:spacing w:line="260" w:lineRule="exact"/>
        <w:jc w:val="both"/>
        <w:rPr>
          <w:bCs/>
          <w:color w:val="000000"/>
          <w:sz w:val="22"/>
          <w:szCs w:val="22"/>
        </w:rPr>
      </w:pPr>
      <w:r>
        <w:rPr>
          <w:bCs/>
          <w:color w:val="000000"/>
          <w:sz w:val="22"/>
          <w:szCs w:val="22"/>
        </w:rPr>
        <w:t xml:space="preserve">Net sales of money market funds </w:t>
      </w:r>
      <w:r w:rsidR="00B23E86" w:rsidRPr="00B23E86">
        <w:rPr>
          <w:bCs/>
          <w:color w:val="000000"/>
          <w:sz w:val="22"/>
          <w:szCs w:val="22"/>
        </w:rPr>
        <w:t>e</w:t>
      </w:r>
      <w:r w:rsidR="00B23E86">
        <w:rPr>
          <w:bCs/>
          <w:color w:val="000000"/>
          <w:sz w:val="22"/>
          <w:szCs w:val="22"/>
        </w:rPr>
        <w:t xml:space="preserve">xperienced net outflows of EUR </w:t>
      </w:r>
      <w:r w:rsidR="00DC5844">
        <w:rPr>
          <w:bCs/>
          <w:color w:val="000000"/>
          <w:sz w:val="22"/>
          <w:szCs w:val="22"/>
        </w:rPr>
        <w:t>11</w:t>
      </w:r>
      <w:r w:rsidR="00B23E86">
        <w:rPr>
          <w:bCs/>
          <w:color w:val="000000"/>
          <w:sz w:val="22"/>
          <w:szCs w:val="22"/>
        </w:rPr>
        <w:t xml:space="preserve"> billion, </w:t>
      </w:r>
      <w:r w:rsidR="008E69CF">
        <w:rPr>
          <w:bCs/>
          <w:color w:val="000000"/>
          <w:sz w:val="22"/>
          <w:szCs w:val="22"/>
        </w:rPr>
        <w:t>compared</w:t>
      </w:r>
      <w:r w:rsidR="00B23E86">
        <w:rPr>
          <w:bCs/>
          <w:color w:val="000000"/>
          <w:sz w:val="22"/>
          <w:szCs w:val="22"/>
        </w:rPr>
        <w:t xml:space="preserve"> to net </w:t>
      </w:r>
      <w:r w:rsidR="00C55CDE">
        <w:rPr>
          <w:bCs/>
          <w:color w:val="000000"/>
          <w:sz w:val="22"/>
          <w:szCs w:val="22"/>
        </w:rPr>
        <w:t>inflows</w:t>
      </w:r>
      <w:r w:rsidR="00B23E86">
        <w:rPr>
          <w:bCs/>
          <w:color w:val="000000"/>
          <w:sz w:val="22"/>
          <w:szCs w:val="22"/>
        </w:rPr>
        <w:t xml:space="preserve"> of EUR </w:t>
      </w:r>
      <w:r w:rsidR="00DC5844">
        <w:rPr>
          <w:bCs/>
          <w:color w:val="000000"/>
          <w:sz w:val="22"/>
          <w:szCs w:val="22"/>
        </w:rPr>
        <w:t>20</w:t>
      </w:r>
      <w:r w:rsidR="00B23E86" w:rsidRPr="00B23E86">
        <w:rPr>
          <w:bCs/>
          <w:color w:val="000000"/>
          <w:sz w:val="22"/>
          <w:szCs w:val="22"/>
        </w:rPr>
        <w:t xml:space="preserve"> billion in</w:t>
      </w:r>
      <w:r w:rsidR="00B23E86">
        <w:rPr>
          <w:bCs/>
          <w:color w:val="000000"/>
          <w:sz w:val="22"/>
          <w:szCs w:val="22"/>
        </w:rPr>
        <w:t xml:space="preserve"> </w:t>
      </w:r>
      <w:r w:rsidR="004F6F47">
        <w:rPr>
          <w:bCs/>
          <w:color w:val="000000"/>
          <w:sz w:val="22"/>
          <w:szCs w:val="22"/>
        </w:rPr>
        <w:t>Q4 2018</w:t>
      </w:r>
      <w:r w:rsidR="00B23E86" w:rsidRPr="00B23E86">
        <w:rPr>
          <w:bCs/>
          <w:color w:val="000000"/>
          <w:sz w:val="22"/>
          <w:szCs w:val="22"/>
        </w:rPr>
        <w:t>.</w:t>
      </w:r>
      <w:r w:rsidR="00B23E86">
        <w:rPr>
          <w:bCs/>
          <w:color w:val="000000"/>
          <w:sz w:val="22"/>
          <w:szCs w:val="22"/>
        </w:rPr>
        <w:t xml:space="preserve"> </w:t>
      </w:r>
      <w:r>
        <w:rPr>
          <w:bCs/>
          <w:color w:val="000000"/>
          <w:sz w:val="22"/>
          <w:szCs w:val="22"/>
        </w:rPr>
        <w:t>Net sales of other funds (in</w:t>
      </w:r>
      <w:r w:rsidR="00F67028">
        <w:rPr>
          <w:bCs/>
          <w:color w:val="000000"/>
          <w:sz w:val="22"/>
          <w:szCs w:val="22"/>
        </w:rPr>
        <w:t>cluding real estate</w:t>
      </w:r>
      <w:r w:rsidR="004F702B">
        <w:rPr>
          <w:bCs/>
          <w:color w:val="000000"/>
          <w:sz w:val="22"/>
          <w:szCs w:val="22"/>
        </w:rPr>
        <w:t xml:space="preserve"> </w:t>
      </w:r>
      <w:r>
        <w:rPr>
          <w:bCs/>
          <w:color w:val="000000"/>
          <w:sz w:val="22"/>
          <w:szCs w:val="22"/>
        </w:rPr>
        <w:t xml:space="preserve">and other funds which do not fit any of the </w:t>
      </w:r>
      <w:r w:rsidR="00C11CAC">
        <w:rPr>
          <w:bCs/>
          <w:color w:val="000000"/>
          <w:sz w:val="22"/>
          <w:szCs w:val="22"/>
        </w:rPr>
        <w:t xml:space="preserve">other </w:t>
      </w:r>
      <w:r w:rsidR="00EB1D68">
        <w:rPr>
          <w:bCs/>
          <w:color w:val="000000"/>
          <w:sz w:val="22"/>
          <w:szCs w:val="22"/>
        </w:rPr>
        <w:t xml:space="preserve">categories </w:t>
      </w:r>
      <w:r>
        <w:rPr>
          <w:bCs/>
          <w:color w:val="000000"/>
          <w:sz w:val="22"/>
          <w:szCs w:val="22"/>
        </w:rPr>
        <w:t xml:space="preserve">for which information is not available) totalled EUR </w:t>
      </w:r>
      <w:r w:rsidR="00DC5844">
        <w:rPr>
          <w:bCs/>
          <w:color w:val="000000"/>
          <w:sz w:val="22"/>
          <w:szCs w:val="22"/>
        </w:rPr>
        <w:t>3</w:t>
      </w:r>
      <w:r w:rsidR="00B008C9">
        <w:rPr>
          <w:bCs/>
          <w:color w:val="000000"/>
          <w:sz w:val="22"/>
          <w:szCs w:val="22"/>
        </w:rPr>
        <w:t>8</w:t>
      </w:r>
      <w:r w:rsidR="005424F7">
        <w:rPr>
          <w:bCs/>
          <w:color w:val="000000"/>
          <w:sz w:val="22"/>
          <w:szCs w:val="22"/>
        </w:rPr>
        <w:t xml:space="preserve"> </w:t>
      </w:r>
      <w:r>
        <w:rPr>
          <w:bCs/>
          <w:color w:val="000000"/>
          <w:sz w:val="22"/>
          <w:szCs w:val="22"/>
        </w:rPr>
        <w:t xml:space="preserve">billion, </w:t>
      </w:r>
      <w:r w:rsidR="00DC5844">
        <w:rPr>
          <w:bCs/>
          <w:color w:val="000000"/>
          <w:sz w:val="22"/>
          <w:szCs w:val="22"/>
        </w:rPr>
        <w:t>compared to net outflows of EUR 10</w:t>
      </w:r>
      <w:r w:rsidR="00DC5844" w:rsidRPr="00B23E86">
        <w:rPr>
          <w:bCs/>
          <w:color w:val="000000"/>
          <w:sz w:val="22"/>
          <w:szCs w:val="22"/>
        </w:rPr>
        <w:t xml:space="preserve"> billion in</w:t>
      </w:r>
      <w:r w:rsidR="00DC5844">
        <w:rPr>
          <w:bCs/>
          <w:color w:val="000000"/>
          <w:sz w:val="22"/>
          <w:szCs w:val="22"/>
        </w:rPr>
        <w:t xml:space="preserve"> Q4</w:t>
      </w:r>
      <w:r w:rsidR="00DC5844" w:rsidRPr="00B23E86">
        <w:rPr>
          <w:bCs/>
          <w:color w:val="000000"/>
          <w:sz w:val="22"/>
          <w:szCs w:val="22"/>
        </w:rPr>
        <w:t xml:space="preserve"> 2</w:t>
      </w:r>
      <w:r w:rsidR="00DC5844">
        <w:rPr>
          <w:bCs/>
          <w:color w:val="000000"/>
          <w:sz w:val="22"/>
          <w:szCs w:val="22"/>
        </w:rPr>
        <w:t>018</w:t>
      </w:r>
      <w:r>
        <w:rPr>
          <w:bCs/>
          <w:color w:val="000000"/>
          <w:sz w:val="22"/>
          <w:szCs w:val="22"/>
        </w:rPr>
        <w:t>.</w:t>
      </w:r>
    </w:p>
    <w:p w14:paraId="313C3FE5" w14:textId="326BC7FA" w:rsidR="00C0196C" w:rsidRPr="00C0196C" w:rsidRDefault="00313C88" w:rsidP="00C0196C">
      <w:pPr>
        <w:pStyle w:val="Footer"/>
        <w:tabs>
          <w:tab w:val="left" w:pos="720"/>
          <w:tab w:val="left" w:pos="4320"/>
        </w:tabs>
        <w:spacing w:line="260" w:lineRule="exact"/>
        <w:jc w:val="both"/>
        <w:rPr>
          <w:bCs/>
          <w:color w:val="000000"/>
          <w:sz w:val="22"/>
          <w:szCs w:val="22"/>
        </w:rPr>
      </w:pPr>
      <w:r>
        <w:rPr>
          <w:b/>
          <w:bCs/>
          <w:iCs/>
          <w:noProof/>
          <w:sz w:val="28"/>
          <w:szCs w:val="28"/>
          <w:lang w:val="nl-BE" w:eastAsia="nl-BE"/>
          <w14:shadow w14:blurRad="50800" w14:dist="38100" w14:dir="2700000" w14:sx="100000" w14:sy="100000" w14:kx="0" w14:ky="0" w14:algn="tl">
            <w14:srgbClr w14:val="000000">
              <w14:alpha w14:val="60000"/>
            </w14:srgbClr>
          </w14:shadow>
        </w:rPr>
        <w:drawing>
          <wp:anchor distT="0" distB="0" distL="114300" distR="114300" simplePos="0" relativeHeight="251799552" behindDoc="0" locked="0" layoutInCell="1" allowOverlap="1" wp14:anchorId="5221C29E" wp14:editId="1408A8E4">
            <wp:simplePos x="0" y="0"/>
            <wp:positionH relativeFrom="margin">
              <wp:posOffset>3051810</wp:posOffset>
            </wp:positionH>
            <wp:positionV relativeFrom="paragraph">
              <wp:posOffset>164465</wp:posOffset>
            </wp:positionV>
            <wp:extent cx="3430905" cy="20878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30905" cy="2087880"/>
                    </a:xfrm>
                    <a:prstGeom prst="rect">
                      <a:avLst/>
                    </a:prstGeom>
                    <a:noFill/>
                  </pic:spPr>
                </pic:pic>
              </a:graphicData>
            </a:graphic>
            <wp14:sizeRelH relativeFrom="margin">
              <wp14:pctWidth>0</wp14:pctWidth>
            </wp14:sizeRelH>
            <wp14:sizeRelV relativeFrom="margin">
              <wp14:pctHeight>0</wp14:pctHeight>
            </wp14:sizeRelV>
          </wp:anchor>
        </w:drawing>
      </w:r>
    </w:p>
    <w:p w14:paraId="6F6C05B6" w14:textId="158D0B2E" w:rsidR="00BE2045" w:rsidRPr="001B65E9" w:rsidRDefault="00313C88" w:rsidP="00C0196C">
      <w:pPr>
        <w:pStyle w:val="Footer"/>
        <w:jc w:val="center"/>
        <w:rPr>
          <w:b/>
          <w:bCs/>
          <w:sz w:val="28"/>
          <w:szCs w:val="28"/>
          <w:lang w:val="en-US"/>
          <w14:shadow w14:blurRad="50800" w14:dist="38100" w14:dir="2700000" w14:sx="100000" w14:sy="100000" w14:kx="0" w14:ky="0" w14:algn="tl">
            <w14:srgbClr w14:val="000000">
              <w14:alpha w14:val="60000"/>
            </w14:srgbClr>
          </w14:shadow>
        </w:rPr>
      </w:pPr>
      <w:r>
        <w:rPr>
          <w:b/>
          <w:bCs/>
          <w:iCs/>
          <w:noProof/>
          <w:sz w:val="28"/>
          <w:szCs w:val="28"/>
          <w:lang w:val="nl-BE" w:eastAsia="nl-BE"/>
          <w14:shadow w14:blurRad="50800" w14:dist="38100" w14:dir="2700000" w14:sx="100000" w14:sy="100000" w14:kx="0" w14:ky="0" w14:algn="tl">
            <w14:srgbClr w14:val="000000">
              <w14:alpha w14:val="60000"/>
            </w14:srgbClr>
          </w14:shadow>
        </w:rPr>
        <w:drawing>
          <wp:anchor distT="0" distB="0" distL="114300" distR="114300" simplePos="0" relativeHeight="251804672" behindDoc="0" locked="0" layoutInCell="1" allowOverlap="1" wp14:anchorId="5EC469EB" wp14:editId="10525F59">
            <wp:simplePos x="0" y="0"/>
            <wp:positionH relativeFrom="column">
              <wp:posOffset>-10160</wp:posOffset>
            </wp:positionH>
            <wp:positionV relativeFrom="paragraph">
              <wp:posOffset>4571365</wp:posOffset>
            </wp:positionV>
            <wp:extent cx="3431302" cy="2088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31302" cy="2088000"/>
                    </a:xfrm>
                    <a:prstGeom prst="rect">
                      <a:avLst/>
                    </a:prstGeom>
                    <a:noFill/>
                  </pic:spPr>
                </pic:pic>
              </a:graphicData>
            </a:graphic>
            <wp14:sizeRelH relativeFrom="margin">
              <wp14:pctWidth>0</wp14:pctWidth>
            </wp14:sizeRelH>
            <wp14:sizeRelV relativeFrom="margin">
              <wp14:pctHeight>0</wp14:pctHeight>
            </wp14:sizeRelV>
          </wp:anchor>
        </w:drawing>
      </w:r>
      <w:r>
        <w:rPr>
          <w:b/>
          <w:bCs/>
          <w:iCs/>
          <w:noProof/>
          <w:sz w:val="28"/>
          <w:szCs w:val="28"/>
          <w:lang w:val="nl-BE" w:eastAsia="nl-BE"/>
          <w14:shadow w14:blurRad="50800" w14:dist="38100" w14:dir="2700000" w14:sx="100000" w14:sy="100000" w14:kx="0" w14:ky="0" w14:algn="tl">
            <w14:srgbClr w14:val="000000">
              <w14:alpha w14:val="60000"/>
            </w14:srgbClr>
          </w14:shadow>
        </w:rPr>
        <w:drawing>
          <wp:anchor distT="0" distB="0" distL="114300" distR="114300" simplePos="0" relativeHeight="251803648" behindDoc="0" locked="0" layoutInCell="1" allowOverlap="1" wp14:anchorId="629368B3" wp14:editId="00C285A1">
            <wp:simplePos x="0" y="0"/>
            <wp:positionH relativeFrom="column">
              <wp:posOffset>3085465</wp:posOffset>
            </wp:positionH>
            <wp:positionV relativeFrom="paragraph">
              <wp:posOffset>4599940</wp:posOffset>
            </wp:positionV>
            <wp:extent cx="3431302" cy="2088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31302" cy="2088000"/>
                    </a:xfrm>
                    <a:prstGeom prst="rect">
                      <a:avLst/>
                    </a:prstGeom>
                    <a:noFill/>
                  </pic:spPr>
                </pic:pic>
              </a:graphicData>
            </a:graphic>
            <wp14:sizeRelH relativeFrom="margin">
              <wp14:pctWidth>0</wp14:pctWidth>
            </wp14:sizeRelH>
            <wp14:sizeRelV relativeFrom="margin">
              <wp14:pctHeight>0</wp14:pctHeight>
            </wp14:sizeRelV>
          </wp:anchor>
        </w:drawing>
      </w:r>
      <w:r>
        <w:rPr>
          <w:b/>
          <w:bCs/>
          <w:iCs/>
          <w:noProof/>
          <w:sz w:val="28"/>
          <w:szCs w:val="28"/>
          <w:lang w:val="nl-BE" w:eastAsia="nl-BE"/>
          <w14:shadow w14:blurRad="50800" w14:dist="38100" w14:dir="2700000" w14:sx="100000" w14:sy="100000" w14:kx="0" w14:ky="0" w14:algn="tl">
            <w14:srgbClr w14:val="000000">
              <w14:alpha w14:val="60000"/>
            </w14:srgbClr>
          </w14:shadow>
        </w:rPr>
        <w:drawing>
          <wp:anchor distT="0" distB="0" distL="114300" distR="114300" simplePos="0" relativeHeight="251801600" behindDoc="0" locked="0" layoutInCell="1" allowOverlap="1" wp14:anchorId="7DE3CC00" wp14:editId="13B3E47D">
            <wp:simplePos x="0" y="0"/>
            <wp:positionH relativeFrom="margin">
              <wp:posOffset>3075940</wp:posOffset>
            </wp:positionH>
            <wp:positionV relativeFrom="paragraph">
              <wp:posOffset>2371090</wp:posOffset>
            </wp:positionV>
            <wp:extent cx="3431302" cy="2088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31302" cy="2088000"/>
                    </a:xfrm>
                    <a:prstGeom prst="rect">
                      <a:avLst/>
                    </a:prstGeom>
                    <a:noFill/>
                  </pic:spPr>
                </pic:pic>
              </a:graphicData>
            </a:graphic>
            <wp14:sizeRelH relativeFrom="margin">
              <wp14:pctWidth>0</wp14:pctWidth>
            </wp14:sizeRelH>
            <wp14:sizeRelV relativeFrom="margin">
              <wp14:pctHeight>0</wp14:pctHeight>
            </wp14:sizeRelV>
          </wp:anchor>
        </w:drawing>
      </w:r>
      <w:r>
        <w:rPr>
          <w:b/>
          <w:bCs/>
          <w:iCs/>
          <w:noProof/>
          <w:sz w:val="28"/>
          <w:szCs w:val="28"/>
          <w:lang w:val="nl-BE" w:eastAsia="nl-BE"/>
          <w14:shadow w14:blurRad="50800" w14:dist="38100" w14:dir="2700000" w14:sx="100000" w14:sy="100000" w14:kx="0" w14:ky="0" w14:algn="tl">
            <w14:srgbClr w14:val="000000">
              <w14:alpha w14:val="60000"/>
            </w14:srgbClr>
          </w14:shadow>
        </w:rPr>
        <w:drawing>
          <wp:anchor distT="0" distB="0" distL="114300" distR="114300" simplePos="0" relativeHeight="251800576" behindDoc="0" locked="0" layoutInCell="1" allowOverlap="1" wp14:anchorId="2B38B74D" wp14:editId="38CF563B">
            <wp:simplePos x="0" y="0"/>
            <wp:positionH relativeFrom="margin">
              <wp:posOffset>-635</wp:posOffset>
            </wp:positionH>
            <wp:positionV relativeFrom="paragraph">
              <wp:posOffset>2342515</wp:posOffset>
            </wp:positionV>
            <wp:extent cx="3430905" cy="20878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30905" cy="2087880"/>
                    </a:xfrm>
                    <a:prstGeom prst="rect">
                      <a:avLst/>
                    </a:prstGeom>
                    <a:noFill/>
                  </pic:spPr>
                </pic:pic>
              </a:graphicData>
            </a:graphic>
            <wp14:sizeRelH relativeFrom="margin">
              <wp14:pctWidth>0</wp14:pctWidth>
            </wp14:sizeRelH>
            <wp14:sizeRelV relativeFrom="margin">
              <wp14:pctHeight>0</wp14:pctHeight>
            </wp14:sizeRelV>
          </wp:anchor>
        </w:drawing>
      </w:r>
      <w:r>
        <w:rPr>
          <w:b/>
          <w:bCs/>
          <w:iCs/>
          <w:noProof/>
          <w:sz w:val="28"/>
          <w:szCs w:val="28"/>
          <w:lang w:val="nl-BE" w:eastAsia="nl-BE"/>
          <w14:shadow w14:blurRad="50800" w14:dist="38100" w14:dir="2700000" w14:sx="100000" w14:sy="100000" w14:kx="0" w14:ky="0" w14:algn="tl">
            <w14:srgbClr w14:val="000000">
              <w14:alpha w14:val="60000"/>
            </w14:srgbClr>
          </w14:shadow>
        </w:rPr>
        <w:drawing>
          <wp:anchor distT="0" distB="0" distL="114300" distR="114300" simplePos="0" relativeHeight="251798528" behindDoc="0" locked="0" layoutInCell="1" allowOverlap="1" wp14:anchorId="7F82E6D9" wp14:editId="42BED565">
            <wp:simplePos x="0" y="0"/>
            <wp:positionH relativeFrom="column">
              <wp:posOffset>-635</wp:posOffset>
            </wp:positionH>
            <wp:positionV relativeFrom="paragraph">
              <wp:posOffset>-635</wp:posOffset>
            </wp:positionV>
            <wp:extent cx="3431302" cy="208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31302" cy="2088000"/>
                    </a:xfrm>
                    <a:prstGeom prst="rect">
                      <a:avLst/>
                    </a:prstGeom>
                    <a:noFill/>
                  </pic:spPr>
                </pic:pic>
              </a:graphicData>
            </a:graphic>
            <wp14:sizeRelH relativeFrom="margin">
              <wp14:pctWidth>0</wp14:pctWidth>
            </wp14:sizeRelH>
            <wp14:sizeRelV relativeFrom="margin">
              <wp14:pctHeight>0</wp14:pctHeight>
            </wp14:sizeRelV>
          </wp:anchor>
        </w:drawing>
      </w:r>
      <w:r w:rsidR="003C52D0" w:rsidRPr="001B65E9">
        <w:rPr>
          <w:b/>
          <w:bCs/>
          <w:iCs/>
          <w:sz w:val="28"/>
          <w:szCs w:val="28"/>
          <w:lang w:val="en-US"/>
          <w14:shadow w14:blurRad="50800" w14:dist="38100" w14:dir="2700000" w14:sx="100000" w14:sy="100000" w14:kx="0" w14:ky="0" w14:algn="tl">
            <w14:srgbClr w14:val="000000">
              <w14:alpha w14:val="60000"/>
            </w14:srgbClr>
          </w14:shadow>
        </w:rPr>
        <w:br w:type="page"/>
      </w:r>
      <w:r w:rsidR="00BE2045" w:rsidRPr="001B65E9">
        <w:rPr>
          <w:b/>
          <w:bCs/>
          <w:sz w:val="28"/>
          <w:szCs w:val="28"/>
          <w:lang w:val="en-US"/>
          <w14:shadow w14:blurRad="50800" w14:dist="38100" w14:dir="2700000" w14:sx="100000" w14:sy="100000" w14:kx="0" w14:ky="0" w14:algn="tl">
            <w14:srgbClr w14:val="000000">
              <w14:alpha w14:val="60000"/>
            </w14:srgbClr>
          </w14:shadow>
        </w:rPr>
        <w:lastRenderedPageBreak/>
        <w:t>Trends in the European Investment Fund Industry</w:t>
      </w:r>
    </w:p>
    <w:p w14:paraId="1E2408F0" w14:textId="77777777" w:rsidR="00BE2045" w:rsidRDefault="00BE2045">
      <w:pPr>
        <w:pStyle w:val="Footer"/>
        <w:jc w:val="center"/>
        <w:rPr>
          <w:b/>
          <w:bCs/>
          <w:i/>
          <w:iCs/>
          <w:sz w:val="16"/>
          <w:szCs w:val="16"/>
          <w:lang w:val="en-US"/>
        </w:rPr>
      </w:pPr>
      <w:r w:rsidRPr="001B65E9">
        <w:rPr>
          <w:b/>
          <w:bCs/>
          <w:i/>
          <w:iCs/>
          <w:sz w:val="28"/>
          <w:szCs w:val="28"/>
          <w:lang w:val="en-US"/>
          <w14:shadow w14:blurRad="50800" w14:dist="38100" w14:dir="2700000" w14:sx="100000" w14:sy="100000" w14:kx="0" w14:ky="0" w14:algn="tl">
            <w14:srgbClr w14:val="000000">
              <w14:alpha w14:val="60000"/>
            </w14:srgbClr>
          </w14:shadow>
        </w:rPr>
        <w:t>Net Assets by Country of Domiciliation</w:t>
      </w:r>
    </w:p>
    <w:p w14:paraId="67778F5D" w14:textId="77777777" w:rsidR="00BE2045" w:rsidRDefault="00BE2045">
      <w:pPr>
        <w:pStyle w:val="Footer"/>
        <w:tabs>
          <w:tab w:val="left" w:pos="720"/>
          <w:tab w:val="left" w:pos="4320"/>
        </w:tabs>
        <w:spacing w:line="260" w:lineRule="exact"/>
        <w:jc w:val="both"/>
        <w:rPr>
          <w:sz w:val="22"/>
          <w:szCs w:val="22"/>
          <w:lang w:val="en-US"/>
        </w:rPr>
      </w:pPr>
    </w:p>
    <w:p w14:paraId="70C3DB1E" w14:textId="3FADF318" w:rsidR="0012009C" w:rsidRPr="00D62403" w:rsidRDefault="00DA7E52">
      <w:pPr>
        <w:pStyle w:val="FootnoteText"/>
        <w:jc w:val="both"/>
        <w:rPr>
          <w:b/>
          <w:color w:val="0000FF"/>
          <w:sz w:val="22"/>
          <w:szCs w:val="22"/>
        </w:rPr>
      </w:pPr>
      <w:bookmarkStart w:id="3" w:name="OLE_LINK4"/>
      <w:bookmarkStart w:id="4" w:name="OLE_LINK5"/>
      <w:r>
        <w:rPr>
          <w:b/>
          <w:color w:val="0000FF"/>
          <w:sz w:val="22"/>
          <w:szCs w:val="22"/>
        </w:rPr>
        <w:t>Total n</w:t>
      </w:r>
      <w:r w:rsidR="00980832">
        <w:rPr>
          <w:b/>
          <w:color w:val="0000FF"/>
          <w:sz w:val="22"/>
          <w:szCs w:val="22"/>
        </w:rPr>
        <w:t>et assets of European investment fund</w:t>
      </w:r>
      <w:r w:rsidR="00440368">
        <w:rPr>
          <w:b/>
          <w:color w:val="0000FF"/>
          <w:sz w:val="22"/>
          <w:szCs w:val="22"/>
        </w:rPr>
        <w:t>s</w:t>
      </w:r>
      <w:r w:rsidR="00980832">
        <w:rPr>
          <w:b/>
          <w:color w:val="0000FF"/>
          <w:sz w:val="22"/>
          <w:szCs w:val="22"/>
        </w:rPr>
        <w:t xml:space="preserve"> </w:t>
      </w:r>
      <w:r w:rsidR="00F622CD">
        <w:rPr>
          <w:b/>
          <w:color w:val="0000FF"/>
          <w:sz w:val="22"/>
          <w:szCs w:val="22"/>
        </w:rPr>
        <w:t>in</w:t>
      </w:r>
      <w:r w:rsidR="006416EC">
        <w:rPr>
          <w:b/>
          <w:color w:val="0000FF"/>
          <w:sz w:val="22"/>
          <w:szCs w:val="22"/>
        </w:rPr>
        <w:t>creased by</w:t>
      </w:r>
      <w:r w:rsidR="0077298C">
        <w:rPr>
          <w:b/>
          <w:color w:val="0000FF"/>
          <w:sz w:val="22"/>
          <w:szCs w:val="22"/>
        </w:rPr>
        <w:t xml:space="preserve"> </w:t>
      </w:r>
      <w:r w:rsidR="00F622CD">
        <w:rPr>
          <w:b/>
          <w:color w:val="0000FF"/>
          <w:sz w:val="22"/>
          <w:szCs w:val="22"/>
        </w:rPr>
        <w:t>7.2</w:t>
      </w:r>
      <w:r w:rsidR="0077298C">
        <w:rPr>
          <w:b/>
          <w:color w:val="0000FF"/>
          <w:sz w:val="22"/>
          <w:szCs w:val="22"/>
        </w:rPr>
        <w:t>%</w:t>
      </w:r>
      <w:r w:rsidR="001A796E">
        <w:rPr>
          <w:b/>
          <w:color w:val="0000FF"/>
          <w:sz w:val="22"/>
          <w:szCs w:val="22"/>
        </w:rPr>
        <w:t xml:space="preserve"> </w:t>
      </w:r>
      <w:r w:rsidR="00091E3D">
        <w:rPr>
          <w:b/>
          <w:color w:val="0000FF"/>
          <w:sz w:val="22"/>
          <w:szCs w:val="22"/>
        </w:rPr>
        <w:t>to</w:t>
      </w:r>
      <w:r>
        <w:rPr>
          <w:b/>
          <w:color w:val="0000FF"/>
          <w:sz w:val="22"/>
          <w:szCs w:val="22"/>
        </w:rPr>
        <w:t xml:space="preserve"> </w:t>
      </w:r>
      <w:r w:rsidR="00C55CDE">
        <w:rPr>
          <w:b/>
          <w:color w:val="0000FF"/>
          <w:sz w:val="22"/>
          <w:szCs w:val="22"/>
        </w:rPr>
        <w:t xml:space="preserve">reach </w:t>
      </w:r>
      <w:r w:rsidR="00536C24">
        <w:rPr>
          <w:b/>
          <w:color w:val="0000FF"/>
          <w:sz w:val="22"/>
          <w:szCs w:val="22"/>
        </w:rPr>
        <w:t xml:space="preserve">EUR </w:t>
      </w:r>
      <w:r w:rsidR="0065269D">
        <w:rPr>
          <w:b/>
          <w:color w:val="0000FF"/>
          <w:sz w:val="22"/>
          <w:szCs w:val="22"/>
        </w:rPr>
        <w:t>1</w:t>
      </w:r>
      <w:r w:rsidR="00F622CD">
        <w:rPr>
          <w:b/>
          <w:color w:val="0000FF"/>
          <w:sz w:val="22"/>
          <w:szCs w:val="22"/>
        </w:rPr>
        <w:t xml:space="preserve">6,251 </w:t>
      </w:r>
      <w:r w:rsidR="00F52593">
        <w:rPr>
          <w:b/>
          <w:color w:val="0000FF"/>
          <w:sz w:val="22"/>
          <w:szCs w:val="22"/>
        </w:rPr>
        <w:t>billion</w:t>
      </w:r>
      <w:r w:rsidR="00980832">
        <w:rPr>
          <w:b/>
          <w:color w:val="0000FF"/>
          <w:sz w:val="22"/>
          <w:szCs w:val="22"/>
        </w:rPr>
        <w:t xml:space="preserve"> at end </w:t>
      </w:r>
      <w:r w:rsidR="00BB6CAC">
        <w:rPr>
          <w:b/>
          <w:color w:val="0000FF"/>
          <w:sz w:val="22"/>
          <w:szCs w:val="22"/>
        </w:rPr>
        <w:t>Q1 201</w:t>
      </w:r>
      <w:r w:rsidR="00F622CD">
        <w:rPr>
          <w:b/>
          <w:color w:val="0000FF"/>
          <w:sz w:val="22"/>
          <w:szCs w:val="22"/>
        </w:rPr>
        <w:t>9</w:t>
      </w:r>
      <w:r w:rsidR="00980832">
        <w:rPr>
          <w:b/>
          <w:color w:val="0000FF"/>
          <w:sz w:val="22"/>
          <w:szCs w:val="22"/>
        </w:rPr>
        <w:t>.</w:t>
      </w:r>
    </w:p>
    <w:bookmarkEnd w:id="3"/>
    <w:bookmarkEnd w:id="4"/>
    <w:p w14:paraId="24BA032A" w14:textId="77777777" w:rsidR="00E44777" w:rsidRDefault="00E44777">
      <w:pPr>
        <w:pStyle w:val="FootnoteText"/>
        <w:tabs>
          <w:tab w:val="left" w:pos="360"/>
        </w:tabs>
        <w:jc w:val="both"/>
        <w:rPr>
          <w:sz w:val="22"/>
          <w:szCs w:val="22"/>
        </w:rPr>
      </w:pPr>
    </w:p>
    <w:p w14:paraId="0F182014" w14:textId="12FEE3C4" w:rsidR="00F31194" w:rsidRDefault="0031048C" w:rsidP="00F31194">
      <w:pPr>
        <w:pStyle w:val="FootnoteText"/>
        <w:tabs>
          <w:tab w:val="left" w:pos="360"/>
        </w:tabs>
        <w:jc w:val="both"/>
        <w:rPr>
          <w:sz w:val="22"/>
          <w:szCs w:val="22"/>
        </w:rPr>
      </w:pPr>
      <w:r>
        <w:rPr>
          <w:sz w:val="22"/>
          <w:szCs w:val="22"/>
        </w:rPr>
        <w:t>With E</w:t>
      </w:r>
      <w:r w:rsidR="001A796E">
        <w:rPr>
          <w:sz w:val="22"/>
          <w:szCs w:val="22"/>
        </w:rPr>
        <w:t>U</w:t>
      </w:r>
      <w:r w:rsidR="00914F7E">
        <w:rPr>
          <w:sz w:val="22"/>
          <w:szCs w:val="22"/>
        </w:rPr>
        <w:t xml:space="preserve">R </w:t>
      </w:r>
      <w:r w:rsidR="00F622CD">
        <w:rPr>
          <w:sz w:val="22"/>
          <w:szCs w:val="22"/>
        </w:rPr>
        <w:t>10,004</w:t>
      </w:r>
      <w:r w:rsidR="00D85D85" w:rsidRPr="00654E5B">
        <w:rPr>
          <w:sz w:val="22"/>
          <w:szCs w:val="22"/>
        </w:rPr>
        <w:t xml:space="preserve"> </w:t>
      </w:r>
      <w:r w:rsidR="00F31194" w:rsidRPr="00654E5B">
        <w:rPr>
          <w:sz w:val="22"/>
          <w:szCs w:val="22"/>
        </w:rPr>
        <w:t>billion invested in UCITS, this segmen</w:t>
      </w:r>
      <w:r w:rsidR="004B5F9B">
        <w:rPr>
          <w:sz w:val="22"/>
          <w:szCs w:val="22"/>
        </w:rPr>
        <w:t>t accounted for</w:t>
      </w:r>
      <w:r w:rsidR="00DD202D">
        <w:rPr>
          <w:sz w:val="22"/>
          <w:szCs w:val="22"/>
        </w:rPr>
        <w:t xml:space="preserve"> </w:t>
      </w:r>
      <w:r w:rsidR="00F622CD">
        <w:rPr>
          <w:sz w:val="22"/>
          <w:szCs w:val="22"/>
        </w:rPr>
        <w:t>61.6</w:t>
      </w:r>
      <w:r w:rsidR="0077298C">
        <w:rPr>
          <w:sz w:val="22"/>
          <w:szCs w:val="22"/>
        </w:rPr>
        <w:t>%</w:t>
      </w:r>
      <w:r w:rsidR="00091E3D">
        <w:rPr>
          <w:sz w:val="22"/>
          <w:szCs w:val="22"/>
        </w:rPr>
        <w:t xml:space="preserve"> of total</w:t>
      </w:r>
      <w:r w:rsidR="00F31194" w:rsidRPr="00654E5B">
        <w:rPr>
          <w:sz w:val="22"/>
          <w:szCs w:val="22"/>
        </w:rPr>
        <w:t xml:space="preserve"> </w:t>
      </w:r>
      <w:r w:rsidR="00AA6274">
        <w:rPr>
          <w:sz w:val="22"/>
          <w:szCs w:val="22"/>
        </w:rPr>
        <w:t xml:space="preserve">European investment </w:t>
      </w:r>
      <w:r w:rsidR="00F31194" w:rsidRPr="00654E5B">
        <w:rPr>
          <w:sz w:val="22"/>
          <w:szCs w:val="22"/>
        </w:rPr>
        <w:t>fund</w:t>
      </w:r>
      <w:r w:rsidR="00914F7E">
        <w:rPr>
          <w:sz w:val="22"/>
          <w:szCs w:val="22"/>
        </w:rPr>
        <w:t xml:space="preserve"> assets at end </w:t>
      </w:r>
      <w:r w:rsidR="00BB6CAC">
        <w:rPr>
          <w:sz w:val="22"/>
          <w:szCs w:val="22"/>
        </w:rPr>
        <w:t>Q1 201</w:t>
      </w:r>
      <w:r w:rsidR="00F622CD">
        <w:rPr>
          <w:sz w:val="22"/>
          <w:szCs w:val="22"/>
        </w:rPr>
        <w:t>9</w:t>
      </w:r>
      <w:r w:rsidR="00152993">
        <w:rPr>
          <w:sz w:val="22"/>
          <w:szCs w:val="22"/>
        </w:rPr>
        <w:t xml:space="preserve">, with the remaining </w:t>
      </w:r>
      <w:r w:rsidR="00F622CD">
        <w:rPr>
          <w:sz w:val="22"/>
          <w:szCs w:val="22"/>
        </w:rPr>
        <w:t>38.4</w:t>
      </w:r>
      <w:r w:rsidR="0077298C">
        <w:rPr>
          <w:sz w:val="22"/>
          <w:szCs w:val="22"/>
        </w:rPr>
        <w:t>%</w:t>
      </w:r>
      <w:r w:rsidR="00EC739E">
        <w:rPr>
          <w:sz w:val="22"/>
          <w:szCs w:val="22"/>
        </w:rPr>
        <w:t xml:space="preserve"> </w:t>
      </w:r>
      <w:r w:rsidR="00914F7E">
        <w:rPr>
          <w:sz w:val="22"/>
          <w:szCs w:val="22"/>
        </w:rPr>
        <w:t>(</w:t>
      </w:r>
      <w:r w:rsidR="00BE4AAF">
        <w:rPr>
          <w:sz w:val="22"/>
          <w:szCs w:val="22"/>
        </w:rPr>
        <w:t>or</w:t>
      </w:r>
      <w:r w:rsidR="00497EFB">
        <w:rPr>
          <w:sz w:val="22"/>
          <w:szCs w:val="22"/>
        </w:rPr>
        <w:t xml:space="preserve"> </w:t>
      </w:r>
      <w:r w:rsidR="00914F7E">
        <w:rPr>
          <w:sz w:val="22"/>
          <w:szCs w:val="22"/>
        </w:rPr>
        <w:t xml:space="preserve">EUR </w:t>
      </w:r>
      <w:r w:rsidR="00F622CD">
        <w:rPr>
          <w:sz w:val="22"/>
          <w:szCs w:val="22"/>
        </w:rPr>
        <w:t>6,247</w:t>
      </w:r>
      <w:r w:rsidR="00D85D85">
        <w:rPr>
          <w:sz w:val="22"/>
          <w:szCs w:val="22"/>
        </w:rPr>
        <w:t xml:space="preserve"> </w:t>
      </w:r>
      <w:r w:rsidR="00675068">
        <w:rPr>
          <w:sz w:val="22"/>
          <w:szCs w:val="22"/>
        </w:rPr>
        <w:t>billion</w:t>
      </w:r>
      <w:r w:rsidR="00A31C8C">
        <w:rPr>
          <w:sz w:val="22"/>
          <w:szCs w:val="22"/>
        </w:rPr>
        <w:t xml:space="preserve">) </w:t>
      </w:r>
      <w:r w:rsidR="00C076DD">
        <w:rPr>
          <w:sz w:val="22"/>
          <w:szCs w:val="22"/>
        </w:rPr>
        <w:t>coming from</w:t>
      </w:r>
      <w:r w:rsidR="001A796E">
        <w:rPr>
          <w:sz w:val="22"/>
          <w:szCs w:val="22"/>
        </w:rPr>
        <w:t xml:space="preserve"> </w:t>
      </w:r>
      <w:r w:rsidR="00914F7E">
        <w:rPr>
          <w:sz w:val="22"/>
          <w:szCs w:val="22"/>
        </w:rPr>
        <w:t>AIF</w:t>
      </w:r>
      <w:r w:rsidR="009B7F39">
        <w:rPr>
          <w:sz w:val="22"/>
          <w:szCs w:val="22"/>
        </w:rPr>
        <w:t>s</w:t>
      </w:r>
      <w:r w:rsidR="00EC739E">
        <w:rPr>
          <w:sz w:val="22"/>
          <w:szCs w:val="22"/>
        </w:rPr>
        <w:t>.</w:t>
      </w:r>
      <w:r w:rsidR="009D5D6A">
        <w:rPr>
          <w:sz w:val="22"/>
          <w:szCs w:val="22"/>
        </w:rPr>
        <w:t xml:space="preserve"> </w:t>
      </w:r>
    </w:p>
    <w:p w14:paraId="2B934D20" w14:textId="663B3F5A" w:rsidR="009757EC" w:rsidRDefault="009757EC" w:rsidP="00F31194">
      <w:pPr>
        <w:pStyle w:val="FootnoteText"/>
        <w:tabs>
          <w:tab w:val="left" w:pos="360"/>
        </w:tabs>
        <w:jc w:val="both"/>
        <w:rPr>
          <w:sz w:val="22"/>
          <w:szCs w:val="22"/>
        </w:rPr>
      </w:pPr>
    </w:p>
    <w:p w14:paraId="4D027E65" w14:textId="3A948133" w:rsidR="00F31194" w:rsidRDefault="00DA1E3F">
      <w:pPr>
        <w:pStyle w:val="FootnoteText"/>
        <w:tabs>
          <w:tab w:val="left" w:pos="360"/>
        </w:tabs>
        <w:jc w:val="both"/>
        <w:rPr>
          <w:sz w:val="22"/>
          <w:szCs w:val="22"/>
        </w:rPr>
      </w:pPr>
      <w:r w:rsidRPr="00DA1E3F">
        <w:rPr>
          <w:noProof/>
          <w:lang w:val="nl-BE" w:eastAsia="nl-BE"/>
        </w:rPr>
        <w:drawing>
          <wp:anchor distT="0" distB="0" distL="114300" distR="114300" simplePos="0" relativeHeight="251790336" behindDoc="0" locked="0" layoutInCell="1" allowOverlap="1" wp14:anchorId="1D0CAE54" wp14:editId="71541DCD">
            <wp:simplePos x="0" y="0"/>
            <wp:positionH relativeFrom="margin">
              <wp:align>center</wp:align>
            </wp:positionH>
            <wp:positionV relativeFrom="paragraph">
              <wp:posOffset>8890</wp:posOffset>
            </wp:positionV>
            <wp:extent cx="4267200" cy="67056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67200" cy="6705600"/>
                    </a:xfrm>
                    <a:prstGeom prst="rect">
                      <a:avLst/>
                    </a:prstGeom>
                    <a:noFill/>
                    <a:ln>
                      <a:noFill/>
                    </a:ln>
                  </pic:spPr>
                </pic:pic>
              </a:graphicData>
            </a:graphic>
          </wp:anchor>
        </w:drawing>
      </w:r>
    </w:p>
    <w:p w14:paraId="73B7C440" w14:textId="7820534E" w:rsidR="00152993" w:rsidRDefault="00DA1E3F" w:rsidP="00AD3D5F">
      <w:pPr>
        <w:pStyle w:val="FootnoteText"/>
        <w:tabs>
          <w:tab w:val="left" w:pos="360"/>
        </w:tabs>
        <w:jc w:val="center"/>
      </w:pPr>
      <w:r w:rsidRPr="00DA1E3F">
        <w:t xml:space="preserve"> </w:t>
      </w:r>
    </w:p>
    <w:p w14:paraId="6BF0CA1A" w14:textId="409DDECB" w:rsidR="00152993" w:rsidRPr="001B65E9" w:rsidRDefault="00152993" w:rsidP="00152993">
      <w:pPr>
        <w:pStyle w:val="Footer"/>
        <w:jc w:val="center"/>
        <w:outlineLvl w:val="0"/>
        <w:rPr>
          <w:b/>
          <w:bCs/>
          <w:sz w:val="28"/>
          <w:szCs w:val="28"/>
          <w:lang w:val="en-US"/>
          <w14:shadow w14:blurRad="50800" w14:dist="38100" w14:dir="2700000" w14:sx="100000" w14:sy="100000" w14:kx="0" w14:ky="0" w14:algn="tl">
            <w14:srgbClr w14:val="000000">
              <w14:alpha w14:val="60000"/>
            </w14:srgbClr>
          </w14:shadow>
        </w:rPr>
      </w:pPr>
      <w:r>
        <w:br w:type="page"/>
      </w:r>
      <w:r w:rsidRPr="001B65E9">
        <w:rPr>
          <w:b/>
          <w:bCs/>
          <w:sz w:val="28"/>
          <w:szCs w:val="28"/>
          <w:lang w:val="en-US"/>
          <w14:shadow w14:blurRad="50800" w14:dist="38100" w14:dir="2700000" w14:sx="100000" w14:sy="100000" w14:kx="0" w14:ky="0" w14:algn="tl">
            <w14:srgbClr w14:val="000000">
              <w14:alpha w14:val="60000"/>
            </w14:srgbClr>
          </w14:shadow>
        </w:rPr>
        <w:lastRenderedPageBreak/>
        <w:t>Trends in the European Investment Fund Industry</w:t>
      </w:r>
    </w:p>
    <w:p w14:paraId="0F863538" w14:textId="1FC051EC" w:rsidR="00DF6EFE" w:rsidRPr="001B65E9" w:rsidRDefault="00152993" w:rsidP="00DF6EFE">
      <w:pPr>
        <w:pStyle w:val="Footer"/>
        <w:jc w:val="center"/>
        <w:rPr>
          <w:b/>
          <w:bCs/>
          <w:i/>
          <w:iCs/>
          <w:sz w:val="28"/>
          <w:szCs w:val="28"/>
          <w:lang w:val="en-US"/>
          <w14:shadow w14:blurRad="50800" w14:dist="38100" w14:dir="2700000" w14:sx="100000" w14:sy="100000" w14:kx="0" w14:ky="0" w14:algn="tl">
            <w14:srgbClr w14:val="000000">
              <w14:alpha w14:val="60000"/>
            </w14:srgbClr>
          </w14:shadow>
        </w:rPr>
      </w:pPr>
      <w:r w:rsidRPr="001B65E9">
        <w:rPr>
          <w:b/>
          <w:bCs/>
          <w:i/>
          <w:iCs/>
          <w:sz w:val="28"/>
          <w:szCs w:val="28"/>
          <w:lang w:val="en-US"/>
          <w14:shadow w14:blurRad="50800" w14:dist="38100" w14:dir="2700000" w14:sx="100000" w14:sy="100000" w14:kx="0" w14:ky="0" w14:algn="tl">
            <w14:srgbClr w14:val="000000">
              <w14:alpha w14:val="60000"/>
            </w14:srgbClr>
          </w14:shadow>
        </w:rPr>
        <w:t>Number of Funds by Country of Domiciliation</w:t>
      </w:r>
    </w:p>
    <w:p w14:paraId="2AB45CDE" w14:textId="77777777" w:rsidR="00DF6EFE" w:rsidRPr="00361684" w:rsidRDefault="00DF6EFE" w:rsidP="00361684">
      <w:pPr>
        <w:pStyle w:val="Footer"/>
        <w:tabs>
          <w:tab w:val="left" w:pos="720"/>
          <w:tab w:val="left" w:pos="4320"/>
        </w:tabs>
        <w:spacing w:line="260" w:lineRule="exact"/>
        <w:jc w:val="both"/>
        <w:rPr>
          <w:sz w:val="22"/>
          <w:szCs w:val="22"/>
          <w:lang w:val="en-US"/>
        </w:rPr>
      </w:pPr>
    </w:p>
    <w:p w14:paraId="645B7AFA" w14:textId="7B7D42D3" w:rsidR="00DF6EFE" w:rsidRPr="00D62403" w:rsidRDefault="00176C6A" w:rsidP="00DF6EFE">
      <w:pPr>
        <w:pStyle w:val="FootnoteText"/>
        <w:jc w:val="both"/>
        <w:rPr>
          <w:b/>
          <w:color w:val="0000FF"/>
          <w:sz w:val="22"/>
          <w:szCs w:val="22"/>
        </w:rPr>
      </w:pPr>
      <w:r>
        <w:rPr>
          <w:b/>
          <w:color w:val="0000FF"/>
          <w:sz w:val="22"/>
          <w:szCs w:val="22"/>
        </w:rPr>
        <w:t xml:space="preserve">In </w:t>
      </w:r>
      <w:r w:rsidR="00453110">
        <w:rPr>
          <w:b/>
          <w:color w:val="0000FF"/>
          <w:sz w:val="22"/>
          <w:szCs w:val="22"/>
        </w:rPr>
        <w:t>Q1 201</w:t>
      </w:r>
      <w:r w:rsidR="000D7257">
        <w:rPr>
          <w:b/>
          <w:color w:val="0000FF"/>
          <w:sz w:val="22"/>
          <w:szCs w:val="22"/>
        </w:rPr>
        <w:t>9</w:t>
      </w:r>
      <w:r w:rsidR="00B2621B">
        <w:rPr>
          <w:b/>
          <w:color w:val="0000FF"/>
          <w:sz w:val="22"/>
          <w:szCs w:val="22"/>
        </w:rPr>
        <w:t>,</w:t>
      </w:r>
      <w:r w:rsidR="0077298C">
        <w:rPr>
          <w:b/>
          <w:color w:val="0000FF"/>
          <w:sz w:val="22"/>
          <w:szCs w:val="22"/>
        </w:rPr>
        <w:t xml:space="preserve"> t</w:t>
      </w:r>
      <w:r w:rsidR="00DF6EFE" w:rsidRPr="00654E5B">
        <w:rPr>
          <w:b/>
          <w:color w:val="0000FF"/>
          <w:sz w:val="22"/>
          <w:szCs w:val="22"/>
        </w:rPr>
        <w:t xml:space="preserve">he </w:t>
      </w:r>
      <w:r w:rsidR="00DF6EFE">
        <w:rPr>
          <w:b/>
          <w:color w:val="0000FF"/>
          <w:sz w:val="22"/>
          <w:szCs w:val="22"/>
        </w:rPr>
        <w:t xml:space="preserve">total number of UCITS </w:t>
      </w:r>
      <w:r w:rsidR="00361684">
        <w:rPr>
          <w:b/>
          <w:color w:val="0000FF"/>
          <w:sz w:val="22"/>
          <w:szCs w:val="22"/>
        </w:rPr>
        <w:t xml:space="preserve">funds </w:t>
      </w:r>
      <w:r w:rsidR="00DF6EFE">
        <w:rPr>
          <w:b/>
          <w:color w:val="0000FF"/>
          <w:sz w:val="22"/>
          <w:szCs w:val="22"/>
        </w:rPr>
        <w:t xml:space="preserve">and </w:t>
      </w:r>
      <w:r w:rsidR="00D67209">
        <w:rPr>
          <w:b/>
          <w:color w:val="0000FF"/>
          <w:sz w:val="22"/>
          <w:szCs w:val="22"/>
        </w:rPr>
        <w:t>AIF</w:t>
      </w:r>
      <w:r w:rsidR="00BE4AAF">
        <w:rPr>
          <w:b/>
          <w:color w:val="0000FF"/>
          <w:sz w:val="22"/>
          <w:szCs w:val="22"/>
        </w:rPr>
        <w:t xml:space="preserve">s </w:t>
      </w:r>
      <w:r w:rsidR="000D7257">
        <w:rPr>
          <w:b/>
          <w:color w:val="0000FF"/>
          <w:sz w:val="22"/>
          <w:szCs w:val="22"/>
        </w:rPr>
        <w:t>de</w:t>
      </w:r>
      <w:r w:rsidR="008500D7">
        <w:rPr>
          <w:b/>
          <w:color w:val="0000FF"/>
          <w:sz w:val="22"/>
          <w:szCs w:val="22"/>
        </w:rPr>
        <w:t>creased</w:t>
      </w:r>
      <w:r w:rsidR="0077298C">
        <w:rPr>
          <w:b/>
          <w:color w:val="0000FF"/>
          <w:sz w:val="22"/>
          <w:szCs w:val="22"/>
        </w:rPr>
        <w:t xml:space="preserve"> by </w:t>
      </w:r>
      <w:r w:rsidR="000D7257">
        <w:rPr>
          <w:b/>
          <w:color w:val="0000FF"/>
          <w:sz w:val="22"/>
          <w:szCs w:val="22"/>
        </w:rPr>
        <w:t>0.5</w:t>
      </w:r>
      <w:r w:rsidR="00361684">
        <w:rPr>
          <w:b/>
          <w:color w:val="0000FF"/>
          <w:sz w:val="22"/>
          <w:szCs w:val="22"/>
        </w:rPr>
        <w:t>%</w:t>
      </w:r>
      <w:r w:rsidR="004F6F47">
        <w:rPr>
          <w:b/>
          <w:color w:val="0000FF"/>
          <w:sz w:val="22"/>
          <w:szCs w:val="22"/>
        </w:rPr>
        <w:t xml:space="preserve"> </w:t>
      </w:r>
      <w:r w:rsidR="00361684">
        <w:rPr>
          <w:b/>
          <w:color w:val="0000FF"/>
          <w:sz w:val="22"/>
          <w:szCs w:val="22"/>
        </w:rPr>
        <w:t xml:space="preserve">to </w:t>
      </w:r>
      <w:r w:rsidR="00453110">
        <w:rPr>
          <w:b/>
          <w:color w:val="0000FF"/>
          <w:sz w:val="22"/>
          <w:szCs w:val="22"/>
        </w:rPr>
        <w:t>6</w:t>
      </w:r>
      <w:r w:rsidR="000D7257">
        <w:rPr>
          <w:b/>
          <w:color w:val="0000FF"/>
          <w:sz w:val="22"/>
          <w:szCs w:val="22"/>
        </w:rPr>
        <w:t>1</w:t>
      </w:r>
      <w:r w:rsidR="00A67C5E">
        <w:rPr>
          <w:b/>
          <w:color w:val="0000FF"/>
          <w:sz w:val="22"/>
          <w:szCs w:val="22"/>
        </w:rPr>
        <w:t>,</w:t>
      </w:r>
      <w:r w:rsidR="000D7257">
        <w:rPr>
          <w:b/>
          <w:color w:val="0000FF"/>
          <w:sz w:val="22"/>
          <w:szCs w:val="22"/>
        </w:rPr>
        <w:t>676</w:t>
      </w:r>
      <w:r w:rsidR="00361684">
        <w:rPr>
          <w:b/>
          <w:color w:val="0000FF"/>
          <w:sz w:val="22"/>
          <w:szCs w:val="22"/>
        </w:rPr>
        <w:t xml:space="preserve"> funds</w:t>
      </w:r>
      <w:r w:rsidR="008500D7">
        <w:rPr>
          <w:b/>
          <w:color w:val="0000FF"/>
          <w:sz w:val="22"/>
          <w:szCs w:val="22"/>
        </w:rPr>
        <w:t>.</w:t>
      </w:r>
    </w:p>
    <w:p w14:paraId="2489A9DB" w14:textId="77777777" w:rsidR="00152993" w:rsidRDefault="00152993" w:rsidP="00152993">
      <w:pPr>
        <w:pStyle w:val="Footer"/>
        <w:tabs>
          <w:tab w:val="left" w:pos="720"/>
          <w:tab w:val="left" w:pos="4320"/>
        </w:tabs>
        <w:spacing w:line="260" w:lineRule="exact"/>
        <w:jc w:val="both"/>
        <w:rPr>
          <w:sz w:val="22"/>
          <w:szCs w:val="22"/>
          <w:lang w:val="en-US"/>
        </w:rPr>
      </w:pPr>
    </w:p>
    <w:p w14:paraId="5045F2A7" w14:textId="09F5A080" w:rsidR="00152993" w:rsidRDefault="0092562B" w:rsidP="00152993">
      <w:pPr>
        <w:pStyle w:val="FootnoteText"/>
        <w:tabs>
          <w:tab w:val="left" w:pos="360"/>
        </w:tabs>
        <w:jc w:val="both"/>
        <w:rPr>
          <w:sz w:val="22"/>
          <w:szCs w:val="22"/>
        </w:rPr>
      </w:pPr>
      <w:r>
        <w:rPr>
          <w:sz w:val="22"/>
          <w:szCs w:val="22"/>
        </w:rPr>
        <w:t xml:space="preserve">At the end of </w:t>
      </w:r>
      <w:r w:rsidR="00C55CDE">
        <w:rPr>
          <w:sz w:val="22"/>
          <w:szCs w:val="22"/>
        </w:rPr>
        <w:t xml:space="preserve">Q1 </w:t>
      </w:r>
      <w:r w:rsidR="002F73FF">
        <w:rPr>
          <w:sz w:val="22"/>
          <w:szCs w:val="22"/>
        </w:rPr>
        <w:t>201</w:t>
      </w:r>
      <w:r w:rsidR="000D7257">
        <w:rPr>
          <w:sz w:val="22"/>
          <w:szCs w:val="22"/>
        </w:rPr>
        <w:t>9</w:t>
      </w:r>
      <w:r w:rsidR="00AF2304">
        <w:rPr>
          <w:sz w:val="22"/>
          <w:szCs w:val="22"/>
        </w:rPr>
        <w:t>, UCITS accounted for</w:t>
      </w:r>
      <w:r w:rsidR="00232977">
        <w:rPr>
          <w:sz w:val="22"/>
          <w:szCs w:val="22"/>
        </w:rPr>
        <w:t xml:space="preserve"> </w:t>
      </w:r>
      <w:r w:rsidR="000D7257">
        <w:rPr>
          <w:sz w:val="22"/>
          <w:szCs w:val="22"/>
        </w:rPr>
        <w:t>33,570</w:t>
      </w:r>
      <w:r w:rsidR="00D85D85">
        <w:rPr>
          <w:sz w:val="22"/>
          <w:szCs w:val="22"/>
        </w:rPr>
        <w:t xml:space="preserve"> </w:t>
      </w:r>
      <w:r w:rsidR="00232977">
        <w:rPr>
          <w:sz w:val="22"/>
          <w:szCs w:val="22"/>
        </w:rPr>
        <w:t xml:space="preserve">funds or </w:t>
      </w:r>
      <w:r w:rsidR="000D7257">
        <w:rPr>
          <w:sz w:val="22"/>
          <w:szCs w:val="22"/>
        </w:rPr>
        <w:t>54.4</w:t>
      </w:r>
      <w:r w:rsidR="001D6F41">
        <w:rPr>
          <w:sz w:val="22"/>
          <w:szCs w:val="22"/>
        </w:rPr>
        <w:t>%</w:t>
      </w:r>
      <w:r w:rsidR="00A155D2">
        <w:rPr>
          <w:sz w:val="22"/>
          <w:szCs w:val="22"/>
        </w:rPr>
        <w:t xml:space="preserve"> </w:t>
      </w:r>
      <w:r w:rsidR="005C3F2A">
        <w:rPr>
          <w:sz w:val="22"/>
          <w:szCs w:val="22"/>
        </w:rPr>
        <w:t xml:space="preserve">of </w:t>
      </w:r>
      <w:r w:rsidR="00B16B3C">
        <w:rPr>
          <w:sz w:val="22"/>
          <w:szCs w:val="22"/>
        </w:rPr>
        <w:t xml:space="preserve">the </w:t>
      </w:r>
      <w:r w:rsidR="005C3F2A">
        <w:rPr>
          <w:sz w:val="22"/>
          <w:szCs w:val="22"/>
        </w:rPr>
        <w:t xml:space="preserve">total </w:t>
      </w:r>
      <w:r w:rsidR="00B16B3C">
        <w:rPr>
          <w:sz w:val="22"/>
          <w:szCs w:val="22"/>
        </w:rPr>
        <w:t xml:space="preserve">number of European </w:t>
      </w:r>
      <w:r w:rsidR="005C3F2A">
        <w:rPr>
          <w:sz w:val="22"/>
          <w:szCs w:val="22"/>
        </w:rPr>
        <w:t>funds</w:t>
      </w:r>
      <w:r w:rsidR="00C076DD">
        <w:rPr>
          <w:sz w:val="22"/>
          <w:szCs w:val="22"/>
        </w:rPr>
        <w:t xml:space="preserve">, </w:t>
      </w:r>
      <w:r w:rsidR="00B2621B">
        <w:rPr>
          <w:sz w:val="22"/>
          <w:szCs w:val="22"/>
        </w:rPr>
        <w:t>while</w:t>
      </w:r>
      <w:r w:rsidR="00C076DD">
        <w:rPr>
          <w:sz w:val="22"/>
          <w:szCs w:val="22"/>
        </w:rPr>
        <w:t xml:space="preserve"> AIF</w:t>
      </w:r>
      <w:r w:rsidR="004F6F47">
        <w:rPr>
          <w:sz w:val="22"/>
          <w:szCs w:val="22"/>
        </w:rPr>
        <w:t>s</w:t>
      </w:r>
      <w:r w:rsidR="00A155D2">
        <w:rPr>
          <w:sz w:val="22"/>
          <w:szCs w:val="22"/>
        </w:rPr>
        <w:t xml:space="preserve"> acc</w:t>
      </w:r>
      <w:r w:rsidR="00AF2304">
        <w:rPr>
          <w:sz w:val="22"/>
          <w:szCs w:val="22"/>
        </w:rPr>
        <w:t xml:space="preserve">ounted for </w:t>
      </w:r>
      <w:r w:rsidR="00BE4AAF">
        <w:rPr>
          <w:sz w:val="22"/>
          <w:szCs w:val="22"/>
        </w:rPr>
        <w:t>28,</w:t>
      </w:r>
      <w:r w:rsidR="000D7257">
        <w:rPr>
          <w:sz w:val="22"/>
          <w:szCs w:val="22"/>
        </w:rPr>
        <w:t>106</w:t>
      </w:r>
      <w:r w:rsidR="00D85D85">
        <w:rPr>
          <w:sz w:val="22"/>
          <w:szCs w:val="22"/>
        </w:rPr>
        <w:t xml:space="preserve"> </w:t>
      </w:r>
      <w:r w:rsidR="00AF2304">
        <w:rPr>
          <w:sz w:val="22"/>
          <w:szCs w:val="22"/>
        </w:rPr>
        <w:t>funds</w:t>
      </w:r>
      <w:r w:rsidR="005C3F2A">
        <w:rPr>
          <w:sz w:val="22"/>
          <w:szCs w:val="22"/>
        </w:rPr>
        <w:t xml:space="preserve"> </w:t>
      </w:r>
      <w:r w:rsidR="00B16B3C">
        <w:rPr>
          <w:sz w:val="22"/>
          <w:szCs w:val="22"/>
        </w:rPr>
        <w:t>(</w:t>
      </w:r>
      <w:r w:rsidR="000D7257">
        <w:rPr>
          <w:sz w:val="22"/>
          <w:szCs w:val="22"/>
        </w:rPr>
        <w:t>45.6</w:t>
      </w:r>
      <w:r w:rsidR="00A155D2">
        <w:rPr>
          <w:sz w:val="22"/>
          <w:szCs w:val="22"/>
        </w:rPr>
        <w:t>%</w:t>
      </w:r>
      <w:r w:rsidR="00B16B3C">
        <w:rPr>
          <w:sz w:val="22"/>
          <w:szCs w:val="22"/>
        </w:rPr>
        <w:t>)</w:t>
      </w:r>
      <w:r w:rsidR="005C3F2A">
        <w:rPr>
          <w:sz w:val="22"/>
          <w:szCs w:val="22"/>
        </w:rPr>
        <w:t>.</w:t>
      </w:r>
    </w:p>
    <w:p w14:paraId="267ABE12" w14:textId="5E534DB0" w:rsidR="00152993" w:rsidRDefault="00152993" w:rsidP="00152993">
      <w:pPr>
        <w:pStyle w:val="FootnoteText"/>
        <w:tabs>
          <w:tab w:val="left" w:pos="360"/>
        </w:tabs>
        <w:jc w:val="both"/>
        <w:rPr>
          <w:sz w:val="22"/>
          <w:szCs w:val="22"/>
        </w:rPr>
      </w:pPr>
    </w:p>
    <w:p w14:paraId="4DDA845E" w14:textId="22DE1F6A" w:rsidR="00FA1C6A" w:rsidRDefault="00FA1C6A" w:rsidP="00152993">
      <w:pPr>
        <w:pStyle w:val="FootnoteText"/>
        <w:tabs>
          <w:tab w:val="left" w:pos="360"/>
        </w:tabs>
        <w:jc w:val="both"/>
        <w:rPr>
          <w:sz w:val="22"/>
          <w:szCs w:val="22"/>
        </w:rPr>
      </w:pPr>
    </w:p>
    <w:p w14:paraId="5314DD18" w14:textId="3CD84D87" w:rsidR="00152993" w:rsidRDefault="00DA1E3F" w:rsidP="00152993">
      <w:pPr>
        <w:pStyle w:val="FootnoteText"/>
        <w:tabs>
          <w:tab w:val="left" w:pos="360"/>
        </w:tabs>
        <w:jc w:val="center"/>
      </w:pPr>
      <w:r w:rsidRPr="00DA1E3F">
        <w:rPr>
          <w:noProof/>
          <w:lang w:val="nl-BE" w:eastAsia="nl-BE"/>
        </w:rPr>
        <w:drawing>
          <wp:anchor distT="0" distB="0" distL="114300" distR="114300" simplePos="0" relativeHeight="251791360" behindDoc="0" locked="0" layoutInCell="1" allowOverlap="1" wp14:anchorId="12C6BCD7" wp14:editId="5122FFCB">
            <wp:simplePos x="0" y="0"/>
            <wp:positionH relativeFrom="margin">
              <wp:align>center</wp:align>
            </wp:positionH>
            <wp:positionV relativeFrom="paragraph">
              <wp:posOffset>5715</wp:posOffset>
            </wp:positionV>
            <wp:extent cx="4324350" cy="62484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24350" cy="6248400"/>
                    </a:xfrm>
                    <a:prstGeom prst="rect">
                      <a:avLst/>
                    </a:prstGeom>
                    <a:noFill/>
                    <a:ln>
                      <a:noFill/>
                    </a:ln>
                  </pic:spPr>
                </pic:pic>
              </a:graphicData>
            </a:graphic>
          </wp:anchor>
        </w:drawing>
      </w:r>
    </w:p>
    <w:p w14:paraId="6272BE7A" w14:textId="02FCAFEC" w:rsidR="00A155D2" w:rsidRDefault="00A155D2" w:rsidP="00152993">
      <w:pPr>
        <w:pStyle w:val="FootnoteText"/>
        <w:tabs>
          <w:tab w:val="left" w:pos="360"/>
        </w:tabs>
        <w:jc w:val="center"/>
      </w:pPr>
    </w:p>
    <w:p w14:paraId="67024993" w14:textId="77777777" w:rsidR="001665DF" w:rsidRDefault="001665DF" w:rsidP="00AD3D5F">
      <w:pPr>
        <w:pStyle w:val="FootnoteText"/>
        <w:tabs>
          <w:tab w:val="left" w:pos="360"/>
        </w:tabs>
        <w:jc w:val="center"/>
      </w:pPr>
    </w:p>
    <w:sectPr w:rsidR="001665DF">
      <w:headerReference w:type="default" r:id="rId40"/>
      <w:footerReference w:type="default" r:id="rId41"/>
      <w:pgSz w:w="11906" w:h="16838" w:code="9"/>
      <w:pgMar w:top="794" w:right="1021" w:bottom="1134" w:left="1021" w:header="709"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FD271" w14:textId="77777777" w:rsidR="00353D96" w:rsidRDefault="00353D96">
      <w:r>
        <w:separator/>
      </w:r>
    </w:p>
  </w:endnote>
  <w:endnote w:type="continuationSeparator" w:id="0">
    <w:p w14:paraId="128FF984" w14:textId="77777777" w:rsidR="00353D96" w:rsidRDefault="0035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8C9CF" w14:textId="2020D100" w:rsidR="00C24149" w:rsidRDefault="00C24149" w:rsidP="00E009CD">
    <w:pPr>
      <w:pStyle w:val="Footer"/>
      <w:tabs>
        <w:tab w:val="left" w:pos="9270"/>
      </w:tabs>
      <w:ind w:right="360"/>
      <w:jc w:val="right"/>
      <w:rPr>
        <w:i/>
        <w:iCs/>
      </w:rPr>
    </w:pPr>
    <w:r>
      <w:rPr>
        <w:i/>
        <w:iCs/>
      </w:rPr>
      <w:t>EFAMA Quarterly Statistical Release N°</w:t>
    </w:r>
    <w:r w:rsidR="003E2E36">
      <w:rPr>
        <w:i/>
        <w:iCs/>
      </w:rPr>
      <w:t xml:space="preserve"> </w:t>
    </w:r>
    <w:r w:rsidR="00E77BF9">
      <w:rPr>
        <w:i/>
        <w:iCs/>
      </w:rPr>
      <w:t>7</w:t>
    </w:r>
    <w:r w:rsidR="0091361F">
      <w:rPr>
        <w:i/>
        <w:iCs/>
      </w:rPr>
      <w:t>7</w:t>
    </w:r>
    <w:r>
      <w:rPr>
        <w:i/>
        <w:iCs/>
      </w:rPr>
      <w:t xml:space="preserve"> (First quarter of 201</w:t>
    </w:r>
    <w:r w:rsidR="0091361F">
      <w:rPr>
        <w:i/>
        <w:iCs/>
      </w:rPr>
      <w:t>9</w:t>
    </w:r>
    <w:r>
      <w:rPr>
        <w:i/>
        <w:i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09464" w14:textId="77777777" w:rsidR="00353D96" w:rsidRDefault="00353D96">
      <w:r>
        <w:separator/>
      </w:r>
    </w:p>
  </w:footnote>
  <w:footnote w:type="continuationSeparator" w:id="0">
    <w:p w14:paraId="130BF93B" w14:textId="77777777" w:rsidR="00353D96" w:rsidRDefault="0035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6AC3F" w14:textId="77777777" w:rsidR="00C24149" w:rsidRDefault="00C24149">
    <w:pPr>
      <w:pStyle w:val="Header"/>
      <w:framePr w:wrap="auto" w:vAnchor="text" w:hAnchor="margin" w:xAlign="right" w:y="1"/>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E330A6">
      <w:rPr>
        <w:rStyle w:val="PageNumber"/>
        <w:noProof/>
        <w:sz w:val="20"/>
        <w:szCs w:val="20"/>
      </w:rPr>
      <w:t>14</w:t>
    </w:r>
    <w:r>
      <w:rPr>
        <w:rStyle w:val="PageNumber"/>
        <w:sz w:val="20"/>
        <w:szCs w:val="20"/>
      </w:rPr>
      <w:fldChar w:fldCharType="end"/>
    </w:r>
  </w:p>
  <w:p w14:paraId="3FCACB99" w14:textId="77777777" w:rsidR="00C24149" w:rsidRDefault="00C2414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409"/>
    <w:multiLevelType w:val="hybridMultilevel"/>
    <w:tmpl w:val="8B04985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A5C0CEB"/>
    <w:multiLevelType w:val="hybridMultilevel"/>
    <w:tmpl w:val="E6BA0C3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F317CD0"/>
    <w:multiLevelType w:val="hybridMultilevel"/>
    <w:tmpl w:val="ECB0AA64"/>
    <w:lvl w:ilvl="0" w:tplc="16A40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26C17"/>
    <w:multiLevelType w:val="hybridMultilevel"/>
    <w:tmpl w:val="D528DBB2"/>
    <w:lvl w:ilvl="0" w:tplc="8D7C54F0">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0B58"/>
    <w:multiLevelType w:val="hybridMultilevel"/>
    <w:tmpl w:val="B4FC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22FCD"/>
    <w:multiLevelType w:val="hybridMultilevel"/>
    <w:tmpl w:val="552E4D6C"/>
    <w:lvl w:ilvl="0" w:tplc="8CDC3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A150B"/>
    <w:multiLevelType w:val="hybridMultilevel"/>
    <w:tmpl w:val="E384F95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076C5"/>
    <w:multiLevelType w:val="hybridMultilevel"/>
    <w:tmpl w:val="5F9687AA"/>
    <w:lvl w:ilvl="0" w:tplc="A87048F8">
      <w:start w:val="2009"/>
      <w:numFmt w:val="bullet"/>
      <w:lvlText w:val=""/>
      <w:lvlJc w:val="left"/>
      <w:pPr>
        <w:ind w:left="720" w:hanging="360"/>
      </w:pPr>
      <w:rPr>
        <w:rFonts w:ascii="Wingdings" w:eastAsia="Times New Roman" w:hAnsi="Wingdings" w:cs="Times New Roman"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4FB57D3"/>
    <w:multiLevelType w:val="hybridMultilevel"/>
    <w:tmpl w:val="25769C7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26F951C9"/>
    <w:multiLevelType w:val="hybridMultilevel"/>
    <w:tmpl w:val="B9F68BB4"/>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960A07"/>
    <w:multiLevelType w:val="hybridMultilevel"/>
    <w:tmpl w:val="CA6E74A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3BDE7362"/>
    <w:multiLevelType w:val="hybridMultilevel"/>
    <w:tmpl w:val="AD0A06F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0C75585"/>
    <w:multiLevelType w:val="hybridMultilevel"/>
    <w:tmpl w:val="337A3E8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1C723AC"/>
    <w:multiLevelType w:val="hybridMultilevel"/>
    <w:tmpl w:val="57C8FAB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41E24F11"/>
    <w:multiLevelType w:val="hybridMultilevel"/>
    <w:tmpl w:val="11BA6A0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436F493C"/>
    <w:multiLevelType w:val="hybridMultilevel"/>
    <w:tmpl w:val="A56E07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3055D"/>
    <w:multiLevelType w:val="hybridMultilevel"/>
    <w:tmpl w:val="31340A3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A9099C"/>
    <w:multiLevelType w:val="hybridMultilevel"/>
    <w:tmpl w:val="50D8E044"/>
    <w:lvl w:ilvl="0" w:tplc="F8186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2D6BC6"/>
    <w:multiLevelType w:val="hybridMultilevel"/>
    <w:tmpl w:val="A6C6A15E"/>
    <w:lvl w:ilvl="0" w:tplc="AEE4F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D6081"/>
    <w:multiLevelType w:val="hybridMultilevel"/>
    <w:tmpl w:val="F36AD89C"/>
    <w:lvl w:ilvl="0" w:tplc="04090001">
      <w:start w:val="1"/>
      <w:numFmt w:val="bullet"/>
      <w:lvlText w:val=""/>
      <w:lvlJc w:val="left"/>
      <w:pPr>
        <w:ind w:left="720" w:hanging="360"/>
      </w:pPr>
      <w:rPr>
        <w:rFonts w:ascii="Symbol" w:hAnsi="Symbol" w:hint="default"/>
      </w:rPr>
    </w:lvl>
    <w:lvl w:ilvl="1" w:tplc="9522E28E">
      <w:start w:val="1"/>
      <w:numFmt w:val="bullet"/>
      <w:lvlText w:val=""/>
      <w:lvlJc w:val="left"/>
      <w:pPr>
        <w:ind w:left="1440" w:hanging="360"/>
      </w:pPr>
      <w:rPr>
        <w:rFonts w:ascii="Symbol" w:hAnsi="Symbol"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921A1"/>
    <w:multiLevelType w:val="hybridMultilevel"/>
    <w:tmpl w:val="6F9E8C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6F36C01"/>
    <w:multiLevelType w:val="hybridMultilevel"/>
    <w:tmpl w:val="63B829A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161019"/>
    <w:multiLevelType w:val="hybridMultilevel"/>
    <w:tmpl w:val="D604E262"/>
    <w:lvl w:ilvl="0" w:tplc="342AA9D4">
      <w:start w:val="1"/>
      <w:numFmt w:val="bullet"/>
      <w:lvlText w:val=""/>
      <w:lvlJc w:val="left"/>
      <w:pPr>
        <w:tabs>
          <w:tab w:val="num" w:pos="397"/>
        </w:tabs>
        <w:ind w:left="397" w:hanging="397"/>
      </w:pPr>
      <w:rPr>
        <w:rFonts w:ascii="Symbol" w:hAnsi="Symbol" w:hint="default"/>
      </w:rPr>
    </w:lvl>
    <w:lvl w:ilvl="1" w:tplc="CCE044A4">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F3D86"/>
    <w:multiLevelType w:val="hybridMultilevel"/>
    <w:tmpl w:val="6ACEE474"/>
    <w:lvl w:ilvl="0" w:tplc="C4CC5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77949"/>
    <w:multiLevelType w:val="hybridMultilevel"/>
    <w:tmpl w:val="EAB4B702"/>
    <w:lvl w:ilvl="0" w:tplc="A87048F8">
      <w:start w:val="2009"/>
      <w:numFmt w:val="bullet"/>
      <w:lvlText w:val=""/>
      <w:lvlJc w:val="left"/>
      <w:pPr>
        <w:ind w:left="720" w:hanging="360"/>
      </w:pPr>
      <w:rPr>
        <w:rFonts w:ascii="Wingdings" w:eastAsia="Times New Roman" w:hAnsi="Wingdings" w:cs="Times New Roman"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BD36E15"/>
    <w:multiLevelType w:val="hybridMultilevel"/>
    <w:tmpl w:val="7FD4788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C5D205A"/>
    <w:multiLevelType w:val="hybridMultilevel"/>
    <w:tmpl w:val="0E0AFF06"/>
    <w:lvl w:ilvl="0" w:tplc="DA823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21B15"/>
    <w:multiLevelType w:val="hybridMultilevel"/>
    <w:tmpl w:val="5BBA5F78"/>
    <w:lvl w:ilvl="0" w:tplc="1E4A7B9A">
      <w:numFmt w:val="bullet"/>
      <w:lvlText w:val=""/>
      <w:lvlJc w:val="left"/>
      <w:pPr>
        <w:ind w:left="1080" w:hanging="360"/>
      </w:pPr>
      <w:rPr>
        <w:rFonts w:ascii="Symbol" w:eastAsia="Times New Roman" w:hAnsi="Symbol"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8" w15:restartNumberingAfterBreak="0">
    <w:nsid w:val="5EA64B90"/>
    <w:multiLevelType w:val="hybridMultilevel"/>
    <w:tmpl w:val="12C42F0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EE5079"/>
    <w:multiLevelType w:val="multilevel"/>
    <w:tmpl w:val="4BD80D0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0" w15:restartNumberingAfterBreak="0">
    <w:nsid w:val="67E33F1B"/>
    <w:multiLevelType w:val="hybridMultilevel"/>
    <w:tmpl w:val="6FD6D1B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55440"/>
    <w:multiLevelType w:val="hybridMultilevel"/>
    <w:tmpl w:val="C11034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DC44C8F"/>
    <w:multiLevelType w:val="hybridMultilevel"/>
    <w:tmpl w:val="B27E415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6ECC5CF4"/>
    <w:multiLevelType w:val="hybridMultilevel"/>
    <w:tmpl w:val="6F208198"/>
    <w:lvl w:ilvl="0" w:tplc="981C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921FB"/>
    <w:multiLevelType w:val="hybridMultilevel"/>
    <w:tmpl w:val="747E9984"/>
    <w:lvl w:ilvl="0" w:tplc="2E92DC34">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47848"/>
    <w:multiLevelType w:val="hybridMultilevel"/>
    <w:tmpl w:val="956CFC40"/>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BB519F5"/>
    <w:multiLevelType w:val="hybridMultilevel"/>
    <w:tmpl w:val="7908B7DE"/>
    <w:lvl w:ilvl="0" w:tplc="C18A6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F239A"/>
    <w:multiLevelType w:val="hybridMultilevel"/>
    <w:tmpl w:val="4CD4E80A"/>
    <w:lvl w:ilvl="0" w:tplc="E1D8CEE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6"/>
  </w:num>
  <w:num w:numId="4">
    <w:abstractNumId w:val="25"/>
  </w:num>
  <w:num w:numId="5">
    <w:abstractNumId w:val="21"/>
  </w:num>
  <w:num w:numId="6">
    <w:abstractNumId w:val="8"/>
  </w:num>
  <w:num w:numId="7">
    <w:abstractNumId w:val="24"/>
  </w:num>
  <w:num w:numId="8">
    <w:abstractNumId w:val="7"/>
  </w:num>
  <w:num w:numId="9">
    <w:abstractNumId w:val="22"/>
  </w:num>
  <w:num w:numId="10">
    <w:abstractNumId w:val="31"/>
  </w:num>
  <w:num w:numId="11">
    <w:abstractNumId w:val="32"/>
  </w:num>
  <w:num w:numId="12">
    <w:abstractNumId w:val="29"/>
  </w:num>
  <w:num w:numId="13">
    <w:abstractNumId w:val="10"/>
  </w:num>
  <w:num w:numId="14">
    <w:abstractNumId w:val="11"/>
  </w:num>
  <w:num w:numId="15">
    <w:abstractNumId w:val="0"/>
  </w:num>
  <w:num w:numId="16">
    <w:abstractNumId w:val="1"/>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6"/>
  </w:num>
  <w:num w:numId="20">
    <w:abstractNumId w:val="2"/>
  </w:num>
  <w:num w:numId="21">
    <w:abstractNumId w:val="34"/>
  </w:num>
  <w:num w:numId="22">
    <w:abstractNumId w:val="5"/>
  </w:num>
  <w:num w:numId="23">
    <w:abstractNumId w:val="26"/>
  </w:num>
  <w:num w:numId="24">
    <w:abstractNumId w:val="33"/>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8"/>
  </w:num>
  <w:num w:numId="28">
    <w:abstractNumId w:val="23"/>
  </w:num>
  <w:num w:numId="29">
    <w:abstractNumId w:val="19"/>
  </w:num>
  <w:num w:numId="30">
    <w:abstractNumId w:val="13"/>
  </w:num>
  <w:num w:numId="31">
    <w:abstractNumId w:val="14"/>
  </w:num>
  <w:num w:numId="32">
    <w:abstractNumId w:val="35"/>
  </w:num>
  <w:num w:numId="33">
    <w:abstractNumId w:val="27"/>
  </w:num>
  <w:num w:numId="34">
    <w:abstractNumId w:val="37"/>
  </w:num>
  <w:num w:numId="35">
    <w:abstractNumId w:val="4"/>
  </w:num>
  <w:num w:numId="36">
    <w:abstractNumId w:val="15"/>
  </w:num>
  <w:num w:numId="37">
    <w:abstractNumId w:val="6"/>
  </w:num>
  <w:num w:numId="38">
    <w:abstractNumId w:val="30"/>
  </w:num>
  <w:num w:numId="39">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93"/>
    <w:rsid w:val="00000909"/>
    <w:rsid w:val="00000E96"/>
    <w:rsid w:val="000021E2"/>
    <w:rsid w:val="00002C7A"/>
    <w:rsid w:val="0000557D"/>
    <w:rsid w:val="0000603C"/>
    <w:rsid w:val="000072E8"/>
    <w:rsid w:val="00007955"/>
    <w:rsid w:val="00011437"/>
    <w:rsid w:val="00013347"/>
    <w:rsid w:val="00013601"/>
    <w:rsid w:val="000143F1"/>
    <w:rsid w:val="00015029"/>
    <w:rsid w:val="000156F4"/>
    <w:rsid w:val="00015A9A"/>
    <w:rsid w:val="00016869"/>
    <w:rsid w:val="0001687B"/>
    <w:rsid w:val="0001732B"/>
    <w:rsid w:val="00017503"/>
    <w:rsid w:val="00017F66"/>
    <w:rsid w:val="00020BB4"/>
    <w:rsid w:val="000240E8"/>
    <w:rsid w:val="000241F0"/>
    <w:rsid w:val="00024985"/>
    <w:rsid w:val="0002568C"/>
    <w:rsid w:val="000271CE"/>
    <w:rsid w:val="000277C2"/>
    <w:rsid w:val="00027DAD"/>
    <w:rsid w:val="00031C6F"/>
    <w:rsid w:val="00033C5A"/>
    <w:rsid w:val="00033F37"/>
    <w:rsid w:val="0003455A"/>
    <w:rsid w:val="000345E8"/>
    <w:rsid w:val="000347A3"/>
    <w:rsid w:val="00034F2C"/>
    <w:rsid w:val="00035267"/>
    <w:rsid w:val="00036843"/>
    <w:rsid w:val="00037E90"/>
    <w:rsid w:val="00037F73"/>
    <w:rsid w:val="00040297"/>
    <w:rsid w:val="000409C1"/>
    <w:rsid w:val="00040D1C"/>
    <w:rsid w:val="00040E7E"/>
    <w:rsid w:val="0004187C"/>
    <w:rsid w:val="000423E1"/>
    <w:rsid w:val="000438E1"/>
    <w:rsid w:val="00044211"/>
    <w:rsid w:val="00044B87"/>
    <w:rsid w:val="00045D50"/>
    <w:rsid w:val="00045ED9"/>
    <w:rsid w:val="000463D0"/>
    <w:rsid w:val="00046BAA"/>
    <w:rsid w:val="00047145"/>
    <w:rsid w:val="00047D53"/>
    <w:rsid w:val="00047F76"/>
    <w:rsid w:val="00053322"/>
    <w:rsid w:val="00053AD6"/>
    <w:rsid w:val="00054657"/>
    <w:rsid w:val="00054D60"/>
    <w:rsid w:val="00056626"/>
    <w:rsid w:val="00056A30"/>
    <w:rsid w:val="000578E5"/>
    <w:rsid w:val="00061A1C"/>
    <w:rsid w:val="00061C27"/>
    <w:rsid w:val="0006310F"/>
    <w:rsid w:val="00063CCB"/>
    <w:rsid w:val="00064214"/>
    <w:rsid w:val="000653F2"/>
    <w:rsid w:val="00066F76"/>
    <w:rsid w:val="00067DE3"/>
    <w:rsid w:val="00070171"/>
    <w:rsid w:val="00070B33"/>
    <w:rsid w:val="000714A9"/>
    <w:rsid w:val="00071E2E"/>
    <w:rsid w:val="00072669"/>
    <w:rsid w:val="00073987"/>
    <w:rsid w:val="000744BE"/>
    <w:rsid w:val="00076BDF"/>
    <w:rsid w:val="000775A7"/>
    <w:rsid w:val="000779E5"/>
    <w:rsid w:val="00080D20"/>
    <w:rsid w:val="00081071"/>
    <w:rsid w:val="000817B9"/>
    <w:rsid w:val="00081B3F"/>
    <w:rsid w:val="0008254F"/>
    <w:rsid w:val="00082BB1"/>
    <w:rsid w:val="00083A2E"/>
    <w:rsid w:val="000843DD"/>
    <w:rsid w:val="00084B61"/>
    <w:rsid w:val="000851B3"/>
    <w:rsid w:val="000864D3"/>
    <w:rsid w:val="00086B6E"/>
    <w:rsid w:val="00087ABD"/>
    <w:rsid w:val="00087D87"/>
    <w:rsid w:val="000902A4"/>
    <w:rsid w:val="00090F82"/>
    <w:rsid w:val="00091523"/>
    <w:rsid w:val="00091E3D"/>
    <w:rsid w:val="0009375C"/>
    <w:rsid w:val="0009516D"/>
    <w:rsid w:val="00095564"/>
    <w:rsid w:val="00097037"/>
    <w:rsid w:val="00097964"/>
    <w:rsid w:val="000A0790"/>
    <w:rsid w:val="000A0BC0"/>
    <w:rsid w:val="000A2D59"/>
    <w:rsid w:val="000A3084"/>
    <w:rsid w:val="000A3923"/>
    <w:rsid w:val="000A3B29"/>
    <w:rsid w:val="000A77C2"/>
    <w:rsid w:val="000B03BD"/>
    <w:rsid w:val="000B0564"/>
    <w:rsid w:val="000B06C2"/>
    <w:rsid w:val="000B0B3D"/>
    <w:rsid w:val="000B25BE"/>
    <w:rsid w:val="000B378A"/>
    <w:rsid w:val="000B3DB4"/>
    <w:rsid w:val="000B466E"/>
    <w:rsid w:val="000B4EDD"/>
    <w:rsid w:val="000B52FE"/>
    <w:rsid w:val="000B5BBC"/>
    <w:rsid w:val="000B5BF1"/>
    <w:rsid w:val="000B6767"/>
    <w:rsid w:val="000B7C55"/>
    <w:rsid w:val="000C2946"/>
    <w:rsid w:val="000C2E9E"/>
    <w:rsid w:val="000C345C"/>
    <w:rsid w:val="000C394B"/>
    <w:rsid w:val="000C3AB6"/>
    <w:rsid w:val="000C5134"/>
    <w:rsid w:val="000C522E"/>
    <w:rsid w:val="000C561E"/>
    <w:rsid w:val="000C6D7A"/>
    <w:rsid w:val="000D143A"/>
    <w:rsid w:val="000D1521"/>
    <w:rsid w:val="000D17BF"/>
    <w:rsid w:val="000D1C75"/>
    <w:rsid w:val="000D2C47"/>
    <w:rsid w:val="000D2E16"/>
    <w:rsid w:val="000D2F8E"/>
    <w:rsid w:val="000D3D28"/>
    <w:rsid w:val="000D4CD9"/>
    <w:rsid w:val="000D50FA"/>
    <w:rsid w:val="000D5650"/>
    <w:rsid w:val="000D639B"/>
    <w:rsid w:val="000D7257"/>
    <w:rsid w:val="000D7292"/>
    <w:rsid w:val="000E08F1"/>
    <w:rsid w:val="000E3420"/>
    <w:rsid w:val="000E3C2A"/>
    <w:rsid w:val="000E4B97"/>
    <w:rsid w:val="000E5950"/>
    <w:rsid w:val="000E6434"/>
    <w:rsid w:val="000E774C"/>
    <w:rsid w:val="000E7B92"/>
    <w:rsid w:val="000E7DB4"/>
    <w:rsid w:val="000F0315"/>
    <w:rsid w:val="000F0527"/>
    <w:rsid w:val="000F0993"/>
    <w:rsid w:val="000F1A5C"/>
    <w:rsid w:val="000F35B3"/>
    <w:rsid w:val="000F35E3"/>
    <w:rsid w:val="000F3986"/>
    <w:rsid w:val="000F40D8"/>
    <w:rsid w:val="000F4E95"/>
    <w:rsid w:val="000F5251"/>
    <w:rsid w:val="000F54F4"/>
    <w:rsid w:val="000F5E1F"/>
    <w:rsid w:val="000F708B"/>
    <w:rsid w:val="000F7184"/>
    <w:rsid w:val="000F724B"/>
    <w:rsid w:val="00100B9A"/>
    <w:rsid w:val="00101721"/>
    <w:rsid w:val="001046B5"/>
    <w:rsid w:val="00104F7D"/>
    <w:rsid w:val="00105999"/>
    <w:rsid w:val="00105FAB"/>
    <w:rsid w:val="00106448"/>
    <w:rsid w:val="0010683D"/>
    <w:rsid w:val="00106DDD"/>
    <w:rsid w:val="001076C3"/>
    <w:rsid w:val="00110791"/>
    <w:rsid w:val="00114B2D"/>
    <w:rsid w:val="001161C9"/>
    <w:rsid w:val="00117719"/>
    <w:rsid w:val="0011779D"/>
    <w:rsid w:val="0012009C"/>
    <w:rsid w:val="001209A0"/>
    <w:rsid w:val="00120B7B"/>
    <w:rsid w:val="001213C2"/>
    <w:rsid w:val="001222DB"/>
    <w:rsid w:val="00122B81"/>
    <w:rsid w:val="00122D19"/>
    <w:rsid w:val="0012416B"/>
    <w:rsid w:val="001253E0"/>
    <w:rsid w:val="00125F61"/>
    <w:rsid w:val="00126074"/>
    <w:rsid w:val="00127649"/>
    <w:rsid w:val="001300AD"/>
    <w:rsid w:val="00130439"/>
    <w:rsid w:val="00130663"/>
    <w:rsid w:val="00130C4A"/>
    <w:rsid w:val="00130E9F"/>
    <w:rsid w:val="0013191A"/>
    <w:rsid w:val="00131AFA"/>
    <w:rsid w:val="00132832"/>
    <w:rsid w:val="00132EDE"/>
    <w:rsid w:val="00135F0F"/>
    <w:rsid w:val="001402F6"/>
    <w:rsid w:val="001408F3"/>
    <w:rsid w:val="001412B9"/>
    <w:rsid w:val="001419CC"/>
    <w:rsid w:val="00142022"/>
    <w:rsid w:val="001422B2"/>
    <w:rsid w:val="001423AB"/>
    <w:rsid w:val="00142E95"/>
    <w:rsid w:val="001434FB"/>
    <w:rsid w:val="001439C2"/>
    <w:rsid w:val="001441C6"/>
    <w:rsid w:val="001448D2"/>
    <w:rsid w:val="00145773"/>
    <w:rsid w:val="00145C9F"/>
    <w:rsid w:val="00145FCF"/>
    <w:rsid w:val="00146147"/>
    <w:rsid w:val="001462CD"/>
    <w:rsid w:val="00147EF8"/>
    <w:rsid w:val="0015022B"/>
    <w:rsid w:val="0015029A"/>
    <w:rsid w:val="0015053F"/>
    <w:rsid w:val="001523DA"/>
    <w:rsid w:val="00152932"/>
    <w:rsid w:val="00152993"/>
    <w:rsid w:val="0015494B"/>
    <w:rsid w:val="0015542F"/>
    <w:rsid w:val="00156178"/>
    <w:rsid w:val="00157CEC"/>
    <w:rsid w:val="00160B5C"/>
    <w:rsid w:val="001613E1"/>
    <w:rsid w:val="00161CCC"/>
    <w:rsid w:val="00162E35"/>
    <w:rsid w:val="00164381"/>
    <w:rsid w:val="001647BF"/>
    <w:rsid w:val="00164941"/>
    <w:rsid w:val="00166049"/>
    <w:rsid w:val="00166286"/>
    <w:rsid w:val="001665DF"/>
    <w:rsid w:val="00170350"/>
    <w:rsid w:val="0017146B"/>
    <w:rsid w:val="00171BB7"/>
    <w:rsid w:val="00171DDB"/>
    <w:rsid w:val="00172819"/>
    <w:rsid w:val="00175147"/>
    <w:rsid w:val="001760C4"/>
    <w:rsid w:val="0017685E"/>
    <w:rsid w:val="00176C6A"/>
    <w:rsid w:val="00177462"/>
    <w:rsid w:val="001802F4"/>
    <w:rsid w:val="0018226D"/>
    <w:rsid w:val="00182AF2"/>
    <w:rsid w:val="0018397E"/>
    <w:rsid w:val="0018445D"/>
    <w:rsid w:val="00184F0C"/>
    <w:rsid w:val="00186213"/>
    <w:rsid w:val="0018697B"/>
    <w:rsid w:val="001872F0"/>
    <w:rsid w:val="0018744E"/>
    <w:rsid w:val="00190C2E"/>
    <w:rsid w:val="0019142C"/>
    <w:rsid w:val="00191CF2"/>
    <w:rsid w:val="00192EE9"/>
    <w:rsid w:val="001939D8"/>
    <w:rsid w:val="0019438F"/>
    <w:rsid w:val="00194BDF"/>
    <w:rsid w:val="001950B8"/>
    <w:rsid w:val="001955BD"/>
    <w:rsid w:val="001A0AF1"/>
    <w:rsid w:val="001A17F7"/>
    <w:rsid w:val="001A1F1F"/>
    <w:rsid w:val="001A24AF"/>
    <w:rsid w:val="001A2C72"/>
    <w:rsid w:val="001A38ED"/>
    <w:rsid w:val="001A415A"/>
    <w:rsid w:val="001A429E"/>
    <w:rsid w:val="001A4AE0"/>
    <w:rsid w:val="001A5368"/>
    <w:rsid w:val="001A6388"/>
    <w:rsid w:val="001A78C8"/>
    <w:rsid w:val="001A796E"/>
    <w:rsid w:val="001A7D71"/>
    <w:rsid w:val="001A7D95"/>
    <w:rsid w:val="001B2438"/>
    <w:rsid w:val="001B2AD9"/>
    <w:rsid w:val="001B32DA"/>
    <w:rsid w:val="001B42C4"/>
    <w:rsid w:val="001B4D3C"/>
    <w:rsid w:val="001B65E9"/>
    <w:rsid w:val="001B6FA7"/>
    <w:rsid w:val="001B7E06"/>
    <w:rsid w:val="001C056C"/>
    <w:rsid w:val="001C0A14"/>
    <w:rsid w:val="001C105D"/>
    <w:rsid w:val="001C1D5E"/>
    <w:rsid w:val="001C2BB5"/>
    <w:rsid w:val="001C41D6"/>
    <w:rsid w:val="001C57F8"/>
    <w:rsid w:val="001C5AA4"/>
    <w:rsid w:val="001C62BA"/>
    <w:rsid w:val="001C6BCF"/>
    <w:rsid w:val="001C6C0A"/>
    <w:rsid w:val="001C6F81"/>
    <w:rsid w:val="001D0E92"/>
    <w:rsid w:val="001D0F2D"/>
    <w:rsid w:val="001D1357"/>
    <w:rsid w:val="001D1704"/>
    <w:rsid w:val="001D1987"/>
    <w:rsid w:val="001D1DEA"/>
    <w:rsid w:val="001D3469"/>
    <w:rsid w:val="001D4458"/>
    <w:rsid w:val="001D5187"/>
    <w:rsid w:val="001D5AED"/>
    <w:rsid w:val="001D5C88"/>
    <w:rsid w:val="001D64CB"/>
    <w:rsid w:val="001D6932"/>
    <w:rsid w:val="001D6F41"/>
    <w:rsid w:val="001D6F93"/>
    <w:rsid w:val="001E0E39"/>
    <w:rsid w:val="001E17FE"/>
    <w:rsid w:val="001E1B11"/>
    <w:rsid w:val="001E1B12"/>
    <w:rsid w:val="001E30C4"/>
    <w:rsid w:val="001E381E"/>
    <w:rsid w:val="001E3E79"/>
    <w:rsid w:val="001E3FE4"/>
    <w:rsid w:val="001E5650"/>
    <w:rsid w:val="001E5FE9"/>
    <w:rsid w:val="001E78F2"/>
    <w:rsid w:val="001E7DA7"/>
    <w:rsid w:val="001F1235"/>
    <w:rsid w:val="001F1A21"/>
    <w:rsid w:val="001F2456"/>
    <w:rsid w:val="001F247A"/>
    <w:rsid w:val="001F2D54"/>
    <w:rsid w:val="001F30F5"/>
    <w:rsid w:val="001F64B6"/>
    <w:rsid w:val="001F6781"/>
    <w:rsid w:val="001F6E56"/>
    <w:rsid w:val="001F776C"/>
    <w:rsid w:val="002004A7"/>
    <w:rsid w:val="00201275"/>
    <w:rsid w:val="00203628"/>
    <w:rsid w:val="00203CCC"/>
    <w:rsid w:val="00206E8D"/>
    <w:rsid w:val="00207327"/>
    <w:rsid w:val="00207A7A"/>
    <w:rsid w:val="0021304C"/>
    <w:rsid w:val="00213509"/>
    <w:rsid w:val="00213FB7"/>
    <w:rsid w:val="0021584E"/>
    <w:rsid w:val="0021614B"/>
    <w:rsid w:val="002171EE"/>
    <w:rsid w:val="002179AA"/>
    <w:rsid w:val="00217A0A"/>
    <w:rsid w:val="00221202"/>
    <w:rsid w:val="00221E57"/>
    <w:rsid w:val="00222F89"/>
    <w:rsid w:val="0022354A"/>
    <w:rsid w:val="00223783"/>
    <w:rsid w:val="0022448F"/>
    <w:rsid w:val="002259C4"/>
    <w:rsid w:val="002265B4"/>
    <w:rsid w:val="00227060"/>
    <w:rsid w:val="00227825"/>
    <w:rsid w:val="00227C9D"/>
    <w:rsid w:val="00230194"/>
    <w:rsid w:val="0023059D"/>
    <w:rsid w:val="00232977"/>
    <w:rsid w:val="00233031"/>
    <w:rsid w:val="002349AE"/>
    <w:rsid w:val="00234A45"/>
    <w:rsid w:val="002354D9"/>
    <w:rsid w:val="00235A51"/>
    <w:rsid w:val="00235BFD"/>
    <w:rsid w:val="00235C1D"/>
    <w:rsid w:val="00236247"/>
    <w:rsid w:val="00242337"/>
    <w:rsid w:val="002429CC"/>
    <w:rsid w:val="002429E3"/>
    <w:rsid w:val="00242A62"/>
    <w:rsid w:val="00243327"/>
    <w:rsid w:val="00243A27"/>
    <w:rsid w:val="00243C88"/>
    <w:rsid w:val="00246616"/>
    <w:rsid w:val="0024688C"/>
    <w:rsid w:val="00247CF8"/>
    <w:rsid w:val="00250596"/>
    <w:rsid w:val="00250678"/>
    <w:rsid w:val="002517AF"/>
    <w:rsid w:val="002535E4"/>
    <w:rsid w:val="002539E5"/>
    <w:rsid w:val="002548EA"/>
    <w:rsid w:val="0025518C"/>
    <w:rsid w:val="002556EB"/>
    <w:rsid w:val="00256D10"/>
    <w:rsid w:val="002575F4"/>
    <w:rsid w:val="00260737"/>
    <w:rsid w:val="00261CDE"/>
    <w:rsid w:val="0026277B"/>
    <w:rsid w:val="00262840"/>
    <w:rsid w:val="0026297C"/>
    <w:rsid w:val="002636D8"/>
    <w:rsid w:val="0026465F"/>
    <w:rsid w:val="00264C0F"/>
    <w:rsid w:val="00265448"/>
    <w:rsid w:val="00265A6C"/>
    <w:rsid w:val="00266299"/>
    <w:rsid w:val="00266F40"/>
    <w:rsid w:val="0026710F"/>
    <w:rsid w:val="00267315"/>
    <w:rsid w:val="0026782C"/>
    <w:rsid w:val="00267C95"/>
    <w:rsid w:val="0027129D"/>
    <w:rsid w:val="00271613"/>
    <w:rsid w:val="00271CDD"/>
    <w:rsid w:val="002722AF"/>
    <w:rsid w:val="002725E4"/>
    <w:rsid w:val="002730C0"/>
    <w:rsid w:val="00274031"/>
    <w:rsid w:val="0027558D"/>
    <w:rsid w:val="00275B84"/>
    <w:rsid w:val="00276B08"/>
    <w:rsid w:val="002770D3"/>
    <w:rsid w:val="00277204"/>
    <w:rsid w:val="0028266E"/>
    <w:rsid w:val="00283F1E"/>
    <w:rsid w:val="00285095"/>
    <w:rsid w:val="0028590F"/>
    <w:rsid w:val="00286411"/>
    <w:rsid w:val="00286DC4"/>
    <w:rsid w:val="00287526"/>
    <w:rsid w:val="002875E1"/>
    <w:rsid w:val="00287AF5"/>
    <w:rsid w:val="0029111E"/>
    <w:rsid w:val="00292DC3"/>
    <w:rsid w:val="00294156"/>
    <w:rsid w:val="0029445C"/>
    <w:rsid w:val="00294D10"/>
    <w:rsid w:val="00295B41"/>
    <w:rsid w:val="00296058"/>
    <w:rsid w:val="00297212"/>
    <w:rsid w:val="002A0F6B"/>
    <w:rsid w:val="002A1355"/>
    <w:rsid w:val="002A152F"/>
    <w:rsid w:val="002A1C33"/>
    <w:rsid w:val="002A28E9"/>
    <w:rsid w:val="002A4E57"/>
    <w:rsid w:val="002A5CF9"/>
    <w:rsid w:val="002A6E48"/>
    <w:rsid w:val="002B0474"/>
    <w:rsid w:val="002B2664"/>
    <w:rsid w:val="002B2AAE"/>
    <w:rsid w:val="002B4012"/>
    <w:rsid w:val="002B463B"/>
    <w:rsid w:val="002B4D1D"/>
    <w:rsid w:val="002B5177"/>
    <w:rsid w:val="002B5C1C"/>
    <w:rsid w:val="002B5E0E"/>
    <w:rsid w:val="002B7916"/>
    <w:rsid w:val="002C08C1"/>
    <w:rsid w:val="002C2FBB"/>
    <w:rsid w:val="002C3A30"/>
    <w:rsid w:val="002C5075"/>
    <w:rsid w:val="002C56BE"/>
    <w:rsid w:val="002C61A6"/>
    <w:rsid w:val="002C61C1"/>
    <w:rsid w:val="002C628C"/>
    <w:rsid w:val="002C6972"/>
    <w:rsid w:val="002C7368"/>
    <w:rsid w:val="002C73F9"/>
    <w:rsid w:val="002C7662"/>
    <w:rsid w:val="002C79F5"/>
    <w:rsid w:val="002D03F1"/>
    <w:rsid w:val="002D184B"/>
    <w:rsid w:val="002D1CDE"/>
    <w:rsid w:val="002D3B7C"/>
    <w:rsid w:val="002D513D"/>
    <w:rsid w:val="002D5B99"/>
    <w:rsid w:val="002D64C0"/>
    <w:rsid w:val="002D6934"/>
    <w:rsid w:val="002E07BD"/>
    <w:rsid w:val="002E09DE"/>
    <w:rsid w:val="002E0E82"/>
    <w:rsid w:val="002E1ABB"/>
    <w:rsid w:val="002E1D0E"/>
    <w:rsid w:val="002E2AE5"/>
    <w:rsid w:val="002E3015"/>
    <w:rsid w:val="002E58FE"/>
    <w:rsid w:val="002F3D2B"/>
    <w:rsid w:val="002F52F7"/>
    <w:rsid w:val="002F5A4F"/>
    <w:rsid w:val="002F607B"/>
    <w:rsid w:val="002F6217"/>
    <w:rsid w:val="002F64F1"/>
    <w:rsid w:val="002F719E"/>
    <w:rsid w:val="002F73FF"/>
    <w:rsid w:val="003003DC"/>
    <w:rsid w:val="0030081D"/>
    <w:rsid w:val="003029B6"/>
    <w:rsid w:val="0030583B"/>
    <w:rsid w:val="00305A8E"/>
    <w:rsid w:val="003062AF"/>
    <w:rsid w:val="0030665B"/>
    <w:rsid w:val="0030697D"/>
    <w:rsid w:val="0030698D"/>
    <w:rsid w:val="0030702D"/>
    <w:rsid w:val="0030757B"/>
    <w:rsid w:val="0031033B"/>
    <w:rsid w:val="0031048C"/>
    <w:rsid w:val="0031055B"/>
    <w:rsid w:val="00310BED"/>
    <w:rsid w:val="003114AD"/>
    <w:rsid w:val="003117F0"/>
    <w:rsid w:val="003117F8"/>
    <w:rsid w:val="00311F0F"/>
    <w:rsid w:val="003122FF"/>
    <w:rsid w:val="0031291A"/>
    <w:rsid w:val="00313C88"/>
    <w:rsid w:val="00313F4F"/>
    <w:rsid w:val="00314097"/>
    <w:rsid w:val="00314327"/>
    <w:rsid w:val="00314CCB"/>
    <w:rsid w:val="00315450"/>
    <w:rsid w:val="00315DFC"/>
    <w:rsid w:val="003176BF"/>
    <w:rsid w:val="00317C68"/>
    <w:rsid w:val="0032133C"/>
    <w:rsid w:val="00321677"/>
    <w:rsid w:val="00321792"/>
    <w:rsid w:val="003219C2"/>
    <w:rsid w:val="00321FA6"/>
    <w:rsid w:val="0032233D"/>
    <w:rsid w:val="00322D02"/>
    <w:rsid w:val="00322F36"/>
    <w:rsid w:val="0032302B"/>
    <w:rsid w:val="00323042"/>
    <w:rsid w:val="00325008"/>
    <w:rsid w:val="003256C2"/>
    <w:rsid w:val="003257CC"/>
    <w:rsid w:val="00325A06"/>
    <w:rsid w:val="00326400"/>
    <w:rsid w:val="0032642C"/>
    <w:rsid w:val="0033001B"/>
    <w:rsid w:val="003305E6"/>
    <w:rsid w:val="0033138B"/>
    <w:rsid w:val="003326DF"/>
    <w:rsid w:val="0033365A"/>
    <w:rsid w:val="00333891"/>
    <w:rsid w:val="00334837"/>
    <w:rsid w:val="00335314"/>
    <w:rsid w:val="00335663"/>
    <w:rsid w:val="003357FA"/>
    <w:rsid w:val="003360DF"/>
    <w:rsid w:val="00336F3E"/>
    <w:rsid w:val="00340C4D"/>
    <w:rsid w:val="00340C78"/>
    <w:rsid w:val="0034142A"/>
    <w:rsid w:val="00342991"/>
    <w:rsid w:val="003430E5"/>
    <w:rsid w:val="0034322D"/>
    <w:rsid w:val="003434D1"/>
    <w:rsid w:val="00345C16"/>
    <w:rsid w:val="00346294"/>
    <w:rsid w:val="00347015"/>
    <w:rsid w:val="003472B6"/>
    <w:rsid w:val="0035065B"/>
    <w:rsid w:val="00351BCD"/>
    <w:rsid w:val="00352A29"/>
    <w:rsid w:val="00352A2F"/>
    <w:rsid w:val="00352B56"/>
    <w:rsid w:val="00352E9D"/>
    <w:rsid w:val="00353D96"/>
    <w:rsid w:val="00354F01"/>
    <w:rsid w:val="003553D7"/>
    <w:rsid w:val="003562CE"/>
    <w:rsid w:val="00356887"/>
    <w:rsid w:val="003573A4"/>
    <w:rsid w:val="00357414"/>
    <w:rsid w:val="003600A2"/>
    <w:rsid w:val="00360AE3"/>
    <w:rsid w:val="00361684"/>
    <w:rsid w:val="00362DBD"/>
    <w:rsid w:val="00363FB9"/>
    <w:rsid w:val="0036449C"/>
    <w:rsid w:val="0036475D"/>
    <w:rsid w:val="00365540"/>
    <w:rsid w:val="003663AB"/>
    <w:rsid w:val="00366C64"/>
    <w:rsid w:val="0037100A"/>
    <w:rsid w:val="00372324"/>
    <w:rsid w:val="00372635"/>
    <w:rsid w:val="00374C47"/>
    <w:rsid w:val="00374FDC"/>
    <w:rsid w:val="003764CE"/>
    <w:rsid w:val="0037676A"/>
    <w:rsid w:val="003769E8"/>
    <w:rsid w:val="0037795D"/>
    <w:rsid w:val="00377DEA"/>
    <w:rsid w:val="00380248"/>
    <w:rsid w:val="00381381"/>
    <w:rsid w:val="0038390E"/>
    <w:rsid w:val="00384667"/>
    <w:rsid w:val="00384C2E"/>
    <w:rsid w:val="00385425"/>
    <w:rsid w:val="0038543C"/>
    <w:rsid w:val="00385743"/>
    <w:rsid w:val="00386BB7"/>
    <w:rsid w:val="003874C3"/>
    <w:rsid w:val="00387F2D"/>
    <w:rsid w:val="00390F18"/>
    <w:rsid w:val="00391A9E"/>
    <w:rsid w:val="00392F10"/>
    <w:rsid w:val="00392FF2"/>
    <w:rsid w:val="003939BD"/>
    <w:rsid w:val="00394D72"/>
    <w:rsid w:val="00394F1C"/>
    <w:rsid w:val="003968FB"/>
    <w:rsid w:val="00397F8C"/>
    <w:rsid w:val="003A04B3"/>
    <w:rsid w:val="003A061D"/>
    <w:rsid w:val="003A06A0"/>
    <w:rsid w:val="003A190E"/>
    <w:rsid w:val="003A19A7"/>
    <w:rsid w:val="003A1FBD"/>
    <w:rsid w:val="003A2440"/>
    <w:rsid w:val="003A3BD9"/>
    <w:rsid w:val="003A3F58"/>
    <w:rsid w:val="003A453F"/>
    <w:rsid w:val="003A4BFA"/>
    <w:rsid w:val="003A4EC0"/>
    <w:rsid w:val="003A4F0E"/>
    <w:rsid w:val="003A5573"/>
    <w:rsid w:val="003A5DA8"/>
    <w:rsid w:val="003A7EEA"/>
    <w:rsid w:val="003B04E5"/>
    <w:rsid w:val="003B0C08"/>
    <w:rsid w:val="003B10E1"/>
    <w:rsid w:val="003B1A37"/>
    <w:rsid w:val="003B223C"/>
    <w:rsid w:val="003B2336"/>
    <w:rsid w:val="003B3142"/>
    <w:rsid w:val="003B3931"/>
    <w:rsid w:val="003B5A20"/>
    <w:rsid w:val="003B799A"/>
    <w:rsid w:val="003C05DF"/>
    <w:rsid w:val="003C0DD0"/>
    <w:rsid w:val="003C185A"/>
    <w:rsid w:val="003C4E97"/>
    <w:rsid w:val="003C52D0"/>
    <w:rsid w:val="003C599A"/>
    <w:rsid w:val="003C6C20"/>
    <w:rsid w:val="003C6D24"/>
    <w:rsid w:val="003C70D8"/>
    <w:rsid w:val="003C74AD"/>
    <w:rsid w:val="003C7862"/>
    <w:rsid w:val="003D03A0"/>
    <w:rsid w:val="003D12AD"/>
    <w:rsid w:val="003D28C2"/>
    <w:rsid w:val="003D2AF0"/>
    <w:rsid w:val="003D3DEF"/>
    <w:rsid w:val="003D44FD"/>
    <w:rsid w:val="003D4FE4"/>
    <w:rsid w:val="003D6022"/>
    <w:rsid w:val="003D6A37"/>
    <w:rsid w:val="003D707A"/>
    <w:rsid w:val="003E0B22"/>
    <w:rsid w:val="003E1533"/>
    <w:rsid w:val="003E2025"/>
    <w:rsid w:val="003E2E36"/>
    <w:rsid w:val="003E43DA"/>
    <w:rsid w:val="003E44BE"/>
    <w:rsid w:val="003E4EC7"/>
    <w:rsid w:val="003E789F"/>
    <w:rsid w:val="003F103A"/>
    <w:rsid w:val="003F1568"/>
    <w:rsid w:val="003F1657"/>
    <w:rsid w:val="003F2658"/>
    <w:rsid w:val="003F339C"/>
    <w:rsid w:val="003F3C39"/>
    <w:rsid w:val="003F5876"/>
    <w:rsid w:val="003F6695"/>
    <w:rsid w:val="003F7060"/>
    <w:rsid w:val="003F7CC7"/>
    <w:rsid w:val="004016AA"/>
    <w:rsid w:val="004018E6"/>
    <w:rsid w:val="00402E38"/>
    <w:rsid w:val="00402FA0"/>
    <w:rsid w:val="004030C0"/>
    <w:rsid w:val="00403B05"/>
    <w:rsid w:val="00404266"/>
    <w:rsid w:val="004049D9"/>
    <w:rsid w:val="00404F60"/>
    <w:rsid w:val="00405516"/>
    <w:rsid w:val="004056A5"/>
    <w:rsid w:val="00406127"/>
    <w:rsid w:val="00406161"/>
    <w:rsid w:val="00406284"/>
    <w:rsid w:val="0040634B"/>
    <w:rsid w:val="00407AC5"/>
    <w:rsid w:val="00410A1C"/>
    <w:rsid w:val="0041184A"/>
    <w:rsid w:val="00412C9E"/>
    <w:rsid w:val="00414492"/>
    <w:rsid w:val="00415958"/>
    <w:rsid w:val="00416929"/>
    <w:rsid w:val="00416A32"/>
    <w:rsid w:val="00420E50"/>
    <w:rsid w:val="0042168A"/>
    <w:rsid w:val="004227F8"/>
    <w:rsid w:val="00423400"/>
    <w:rsid w:val="0042353E"/>
    <w:rsid w:val="0042359B"/>
    <w:rsid w:val="00423F08"/>
    <w:rsid w:val="00425397"/>
    <w:rsid w:val="00426E6E"/>
    <w:rsid w:val="004274BB"/>
    <w:rsid w:val="004315BE"/>
    <w:rsid w:val="0043381E"/>
    <w:rsid w:val="00433AEA"/>
    <w:rsid w:val="00434482"/>
    <w:rsid w:val="004344E7"/>
    <w:rsid w:val="004362AC"/>
    <w:rsid w:val="00440368"/>
    <w:rsid w:val="00440650"/>
    <w:rsid w:val="00440A1B"/>
    <w:rsid w:val="004412CB"/>
    <w:rsid w:val="0044259E"/>
    <w:rsid w:val="004433DE"/>
    <w:rsid w:val="004439A4"/>
    <w:rsid w:val="00443F7F"/>
    <w:rsid w:val="004442E9"/>
    <w:rsid w:val="00445947"/>
    <w:rsid w:val="00445C3F"/>
    <w:rsid w:val="00445EFF"/>
    <w:rsid w:val="004467BA"/>
    <w:rsid w:val="00446FCF"/>
    <w:rsid w:val="00447ED7"/>
    <w:rsid w:val="00450B9E"/>
    <w:rsid w:val="00450EDA"/>
    <w:rsid w:val="00450EF2"/>
    <w:rsid w:val="00451A58"/>
    <w:rsid w:val="00451B3D"/>
    <w:rsid w:val="00452F5B"/>
    <w:rsid w:val="00453110"/>
    <w:rsid w:val="004538B6"/>
    <w:rsid w:val="00453FC1"/>
    <w:rsid w:val="00457C40"/>
    <w:rsid w:val="00457E53"/>
    <w:rsid w:val="0046048A"/>
    <w:rsid w:val="00460FC1"/>
    <w:rsid w:val="004617EC"/>
    <w:rsid w:val="004625CA"/>
    <w:rsid w:val="00463D67"/>
    <w:rsid w:val="00465484"/>
    <w:rsid w:val="004663A4"/>
    <w:rsid w:val="00466455"/>
    <w:rsid w:val="004677BD"/>
    <w:rsid w:val="00467F4E"/>
    <w:rsid w:val="0047012D"/>
    <w:rsid w:val="004704F2"/>
    <w:rsid w:val="00470BE2"/>
    <w:rsid w:val="00472B71"/>
    <w:rsid w:val="00473400"/>
    <w:rsid w:val="00473521"/>
    <w:rsid w:val="004737C1"/>
    <w:rsid w:val="00473B0A"/>
    <w:rsid w:val="0047560B"/>
    <w:rsid w:val="00475A24"/>
    <w:rsid w:val="00475E07"/>
    <w:rsid w:val="00477730"/>
    <w:rsid w:val="00477B24"/>
    <w:rsid w:val="00477E59"/>
    <w:rsid w:val="00477F43"/>
    <w:rsid w:val="00480145"/>
    <w:rsid w:val="0048077B"/>
    <w:rsid w:val="004809C7"/>
    <w:rsid w:val="00483333"/>
    <w:rsid w:val="00483418"/>
    <w:rsid w:val="004856B8"/>
    <w:rsid w:val="0048653A"/>
    <w:rsid w:val="00486FD6"/>
    <w:rsid w:val="00487241"/>
    <w:rsid w:val="00487A3A"/>
    <w:rsid w:val="00487A92"/>
    <w:rsid w:val="004903E8"/>
    <w:rsid w:val="00490C6B"/>
    <w:rsid w:val="004910B0"/>
    <w:rsid w:val="004927BB"/>
    <w:rsid w:val="004929DF"/>
    <w:rsid w:val="00492B0E"/>
    <w:rsid w:val="00493D34"/>
    <w:rsid w:val="00493FB4"/>
    <w:rsid w:val="00494046"/>
    <w:rsid w:val="0049437C"/>
    <w:rsid w:val="00495840"/>
    <w:rsid w:val="004971B0"/>
    <w:rsid w:val="0049791D"/>
    <w:rsid w:val="00497A7A"/>
    <w:rsid w:val="00497EFB"/>
    <w:rsid w:val="004A054F"/>
    <w:rsid w:val="004A071E"/>
    <w:rsid w:val="004A2408"/>
    <w:rsid w:val="004A26B7"/>
    <w:rsid w:val="004A2B0C"/>
    <w:rsid w:val="004A2B5C"/>
    <w:rsid w:val="004A2B81"/>
    <w:rsid w:val="004A2D03"/>
    <w:rsid w:val="004A2E6C"/>
    <w:rsid w:val="004A31C4"/>
    <w:rsid w:val="004A34D9"/>
    <w:rsid w:val="004A3625"/>
    <w:rsid w:val="004A3F0F"/>
    <w:rsid w:val="004A4AB6"/>
    <w:rsid w:val="004A4BEF"/>
    <w:rsid w:val="004A4D59"/>
    <w:rsid w:val="004A53F6"/>
    <w:rsid w:val="004A6124"/>
    <w:rsid w:val="004A6564"/>
    <w:rsid w:val="004A6B13"/>
    <w:rsid w:val="004A6B17"/>
    <w:rsid w:val="004A71C7"/>
    <w:rsid w:val="004A7865"/>
    <w:rsid w:val="004B03A1"/>
    <w:rsid w:val="004B052E"/>
    <w:rsid w:val="004B0830"/>
    <w:rsid w:val="004B0B82"/>
    <w:rsid w:val="004B170E"/>
    <w:rsid w:val="004B3524"/>
    <w:rsid w:val="004B3B86"/>
    <w:rsid w:val="004B44B7"/>
    <w:rsid w:val="004B5166"/>
    <w:rsid w:val="004B59A9"/>
    <w:rsid w:val="004B5F9B"/>
    <w:rsid w:val="004B7F90"/>
    <w:rsid w:val="004C0182"/>
    <w:rsid w:val="004C06E4"/>
    <w:rsid w:val="004C1F55"/>
    <w:rsid w:val="004C2FE0"/>
    <w:rsid w:val="004C50D8"/>
    <w:rsid w:val="004C5136"/>
    <w:rsid w:val="004C5AB0"/>
    <w:rsid w:val="004C7F1A"/>
    <w:rsid w:val="004D101D"/>
    <w:rsid w:val="004D1725"/>
    <w:rsid w:val="004D29A8"/>
    <w:rsid w:val="004D2DB4"/>
    <w:rsid w:val="004D39E2"/>
    <w:rsid w:val="004D3A40"/>
    <w:rsid w:val="004D51A7"/>
    <w:rsid w:val="004D5C6F"/>
    <w:rsid w:val="004D5F7C"/>
    <w:rsid w:val="004D61FB"/>
    <w:rsid w:val="004D630F"/>
    <w:rsid w:val="004D795F"/>
    <w:rsid w:val="004E01AB"/>
    <w:rsid w:val="004E05E8"/>
    <w:rsid w:val="004E14AE"/>
    <w:rsid w:val="004E1534"/>
    <w:rsid w:val="004E1ED6"/>
    <w:rsid w:val="004E2CE2"/>
    <w:rsid w:val="004E31CD"/>
    <w:rsid w:val="004E3221"/>
    <w:rsid w:val="004E3EE5"/>
    <w:rsid w:val="004E489E"/>
    <w:rsid w:val="004E50EA"/>
    <w:rsid w:val="004E5829"/>
    <w:rsid w:val="004E6302"/>
    <w:rsid w:val="004F14D0"/>
    <w:rsid w:val="004F2465"/>
    <w:rsid w:val="004F2861"/>
    <w:rsid w:val="004F4056"/>
    <w:rsid w:val="004F45CD"/>
    <w:rsid w:val="004F54B5"/>
    <w:rsid w:val="004F6F47"/>
    <w:rsid w:val="004F702B"/>
    <w:rsid w:val="00502D22"/>
    <w:rsid w:val="005033E0"/>
    <w:rsid w:val="00503D96"/>
    <w:rsid w:val="0050405D"/>
    <w:rsid w:val="0050417D"/>
    <w:rsid w:val="00506FE7"/>
    <w:rsid w:val="00511975"/>
    <w:rsid w:val="005129F4"/>
    <w:rsid w:val="00512BB8"/>
    <w:rsid w:val="00514C11"/>
    <w:rsid w:val="005155DD"/>
    <w:rsid w:val="00515AD2"/>
    <w:rsid w:val="00516CA7"/>
    <w:rsid w:val="005174ED"/>
    <w:rsid w:val="00517D80"/>
    <w:rsid w:val="0052156B"/>
    <w:rsid w:val="005237A0"/>
    <w:rsid w:val="00523D5F"/>
    <w:rsid w:val="00524018"/>
    <w:rsid w:val="00525266"/>
    <w:rsid w:val="00525298"/>
    <w:rsid w:val="00525697"/>
    <w:rsid w:val="00533CDD"/>
    <w:rsid w:val="005344A2"/>
    <w:rsid w:val="005344AB"/>
    <w:rsid w:val="00534709"/>
    <w:rsid w:val="00534F74"/>
    <w:rsid w:val="00535694"/>
    <w:rsid w:val="00535804"/>
    <w:rsid w:val="00535A91"/>
    <w:rsid w:val="00536293"/>
    <w:rsid w:val="00536746"/>
    <w:rsid w:val="00536C24"/>
    <w:rsid w:val="00536E6C"/>
    <w:rsid w:val="00540F7F"/>
    <w:rsid w:val="00541CF0"/>
    <w:rsid w:val="005424F7"/>
    <w:rsid w:val="00543046"/>
    <w:rsid w:val="00546C12"/>
    <w:rsid w:val="005472C9"/>
    <w:rsid w:val="00550276"/>
    <w:rsid w:val="00550A2E"/>
    <w:rsid w:val="00552756"/>
    <w:rsid w:val="005538AF"/>
    <w:rsid w:val="00554889"/>
    <w:rsid w:val="00554BCD"/>
    <w:rsid w:val="0055540D"/>
    <w:rsid w:val="0055616B"/>
    <w:rsid w:val="005567B5"/>
    <w:rsid w:val="00556B0C"/>
    <w:rsid w:val="00561FC3"/>
    <w:rsid w:val="00562324"/>
    <w:rsid w:val="0056452B"/>
    <w:rsid w:val="005647FA"/>
    <w:rsid w:val="00564F28"/>
    <w:rsid w:val="0056559B"/>
    <w:rsid w:val="00565948"/>
    <w:rsid w:val="00566056"/>
    <w:rsid w:val="005670F0"/>
    <w:rsid w:val="00572E08"/>
    <w:rsid w:val="00573121"/>
    <w:rsid w:val="00573427"/>
    <w:rsid w:val="005736D1"/>
    <w:rsid w:val="0057426D"/>
    <w:rsid w:val="005762A3"/>
    <w:rsid w:val="00583767"/>
    <w:rsid w:val="00583E5B"/>
    <w:rsid w:val="00584832"/>
    <w:rsid w:val="00584F54"/>
    <w:rsid w:val="00585C73"/>
    <w:rsid w:val="00585FCC"/>
    <w:rsid w:val="00587AA5"/>
    <w:rsid w:val="00587D23"/>
    <w:rsid w:val="00590F79"/>
    <w:rsid w:val="005918E6"/>
    <w:rsid w:val="00592C87"/>
    <w:rsid w:val="00592D91"/>
    <w:rsid w:val="00593397"/>
    <w:rsid w:val="0059538E"/>
    <w:rsid w:val="00597754"/>
    <w:rsid w:val="005A0F89"/>
    <w:rsid w:val="005A104F"/>
    <w:rsid w:val="005A1133"/>
    <w:rsid w:val="005A1B2B"/>
    <w:rsid w:val="005A3A65"/>
    <w:rsid w:val="005A3CD3"/>
    <w:rsid w:val="005A4603"/>
    <w:rsid w:val="005A4850"/>
    <w:rsid w:val="005A568E"/>
    <w:rsid w:val="005A5B50"/>
    <w:rsid w:val="005A669F"/>
    <w:rsid w:val="005A6AD5"/>
    <w:rsid w:val="005A6C00"/>
    <w:rsid w:val="005A704F"/>
    <w:rsid w:val="005A7142"/>
    <w:rsid w:val="005B1A16"/>
    <w:rsid w:val="005B1F0F"/>
    <w:rsid w:val="005B2907"/>
    <w:rsid w:val="005B302B"/>
    <w:rsid w:val="005B3189"/>
    <w:rsid w:val="005B50A5"/>
    <w:rsid w:val="005B5B72"/>
    <w:rsid w:val="005B7431"/>
    <w:rsid w:val="005B7ACB"/>
    <w:rsid w:val="005C061E"/>
    <w:rsid w:val="005C0D0B"/>
    <w:rsid w:val="005C0ED8"/>
    <w:rsid w:val="005C1129"/>
    <w:rsid w:val="005C1C18"/>
    <w:rsid w:val="005C2298"/>
    <w:rsid w:val="005C303E"/>
    <w:rsid w:val="005C394F"/>
    <w:rsid w:val="005C3F2A"/>
    <w:rsid w:val="005C4286"/>
    <w:rsid w:val="005C58DB"/>
    <w:rsid w:val="005C7759"/>
    <w:rsid w:val="005C7DF7"/>
    <w:rsid w:val="005D081A"/>
    <w:rsid w:val="005D2880"/>
    <w:rsid w:val="005D3119"/>
    <w:rsid w:val="005D31AA"/>
    <w:rsid w:val="005D31EF"/>
    <w:rsid w:val="005D3DCB"/>
    <w:rsid w:val="005D53E6"/>
    <w:rsid w:val="005D59E8"/>
    <w:rsid w:val="005D5CEA"/>
    <w:rsid w:val="005D6BF5"/>
    <w:rsid w:val="005D7009"/>
    <w:rsid w:val="005D70B4"/>
    <w:rsid w:val="005E0AFA"/>
    <w:rsid w:val="005E1309"/>
    <w:rsid w:val="005E17CE"/>
    <w:rsid w:val="005E1935"/>
    <w:rsid w:val="005E1BD0"/>
    <w:rsid w:val="005E1BDE"/>
    <w:rsid w:val="005E3B02"/>
    <w:rsid w:val="005E470F"/>
    <w:rsid w:val="005E4E2F"/>
    <w:rsid w:val="005E4E8A"/>
    <w:rsid w:val="005E52A5"/>
    <w:rsid w:val="005E52AF"/>
    <w:rsid w:val="005E5423"/>
    <w:rsid w:val="005E57F9"/>
    <w:rsid w:val="005E7EDD"/>
    <w:rsid w:val="005F0679"/>
    <w:rsid w:val="005F0682"/>
    <w:rsid w:val="005F0AC2"/>
    <w:rsid w:val="005F0B0E"/>
    <w:rsid w:val="005F0CEC"/>
    <w:rsid w:val="005F13EC"/>
    <w:rsid w:val="005F14DF"/>
    <w:rsid w:val="005F23F1"/>
    <w:rsid w:val="005F2CD7"/>
    <w:rsid w:val="005F3159"/>
    <w:rsid w:val="005F33ED"/>
    <w:rsid w:val="005F56CA"/>
    <w:rsid w:val="005F5F6F"/>
    <w:rsid w:val="005F73C8"/>
    <w:rsid w:val="005F7C93"/>
    <w:rsid w:val="0060036C"/>
    <w:rsid w:val="00600F2E"/>
    <w:rsid w:val="00601C67"/>
    <w:rsid w:val="006025A2"/>
    <w:rsid w:val="00602E75"/>
    <w:rsid w:val="0060353C"/>
    <w:rsid w:val="00603C41"/>
    <w:rsid w:val="0060416E"/>
    <w:rsid w:val="006068C4"/>
    <w:rsid w:val="00607EAD"/>
    <w:rsid w:val="00611896"/>
    <w:rsid w:val="0061233B"/>
    <w:rsid w:val="00614A34"/>
    <w:rsid w:val="00614F80"/>
    <w:rsid w:val="0061530B"/>
    <w:rsid w:val="00615347"/>
    <w:rsid w:val="0061566A"/>
    <w:rsid w:val="00616870"/>
    <w:rsid w:val="00617CF4"/>
    <w:rsid w:val="00621BCF"/>
    <w:rsid w:val="00622197"/>
    <w:rsid w:val="00622663"/>
    <w:rsid w:val="00622873"/>
    <w:rsid w:val="00624868"/>
    <w:rsid w:val="00626123"/>
    <w:rsid w:val="00626CEF"/>
    <w:rsid w:val="006301AE"/>
    <w:rsid w:val="00630347"/>
    <w:rsid w:val="0063052E"/>
    <w:rsid w:val="00630912"/>
    <w:rsid w:val="00632C9F"/>
    <w:rsid w:val="00633BA3"/>
    <w:rsid w:val="00633EB8"/>
    <w:rsid w:val="00635D01"/>
    <w:rsid w:val="00635D70"/>
    <w:rsid w:val="00635EBC"/>
    <w:rsid w:val="00636159"/>
    <w:rsid w:val="0063706C"/>
    <w:rsid w:val="006370E9"/>
    <w:rsid w:val="006416EC"/>
    <w:rsid w:val="006435F8"/>
    <w:rsid w:val="00643B31"/>
    <w:rsid w:val="006446C8"/>
    <w:rsid w:val="00644740"/>
    <w:rsid w:val="00644CF6"/>
    <w:rsid w:val="00645C11"/>
    <w:rsid w:val="00645EDA"/>
    <w:rsid w:val="0064645D"/>
    <w:rsid w:val="00647670"/>
    <w:rsid w:val="00650C28"/>
    <w:rsid w:val="00650F54"/>
    <w:rsid w:val="0065269D"/>
    <w:rsid w:val="006546D8"/>
    <w:rsid w:val="00654E5B"/>
    <w:rsid w:val="00656077"/>
    <w:rsid w:val="00656847"/>
    <w:rsid w:val="00656DDE"/>
    <w:rsid w:val="00657576"/>
    <w:rsid w:val="00657898"/>
    <w:rsid w:val="006603B3"/>
    <w:rsid w:val="00660B43"/>
    <w:rsid w:val="00660FF1"/>
    <w:rsid w:val="006611AA"/>
    <w:rsid w:val="006629F7"/>
    <w:rsid w:val="00662CB8"/>
    <w:rsid w:val="00663217"/>
    <w:rsid w:val="0066399B"/>
    <w:rsid w:val="00663E6A"/>
    <w:rsid w:val="00663EE1"/>
    <w:rsid w:val="006647DE"/>
    <w:rsid w:val="006659CB"/>
    <w:rsid w:val="00666043"/>
    <w:rsid w:val="00666DF0"/>
    <w:rsid w:val="00666E42"/>
    <w:rsid w:val="00667DE7"/>
    <w:rsid w:val="00672420"/>
    <w:rsid w:val="006725A2"/>
    <w:rsid w:val="00673401"/>
    <w:rsid w:val="00673408"/>
    <w:rsid w:val="00673DB2"/>
    <w:rsid w:val="00673FFF"/>
    <w:rsid w:val="006743B1"/>
    <w:rsid w:val="00674522"/>
    <w:rsid w:val="006747BD"/>
    <w:rsid w:val="006749AF"/>
    <w:rsid w:val="00675068"/>
    <w:rsid w:val="006752A1"/>
    <w:rsid w:val="00677474"/>
    <w:rsid w:val="00677562"/>
    <w:rsid w:val="00677784"/>
    <w:rsid w:val="00677979"/>
    <w:rsid w:val="00681F93"/>
    <w:rsid w:val="006826CC"/>
    <w:rsid w:val="00682EA0"/>
    <w:rsid w:val="00683040"/>
    <w:rsid w:val="0068369E"/>
    <w:rsid w:val="006839C4"/>
    <w:rsid w:val="006847BB"/>
    <w:rsid w:val="0068712F"/>
    <w:rsid w:val="00687470"/>
    <w:rsid w:val="00691094"/>
    <w:rsid w:val="006913A2"/>
    <w:rsid w:val="006913C0"/>
    <w:rsid w:val="0069312F"/>
    <w:rsid w:val="00694064"/>
    <w:rsid w:val="006954E2"/>
    <w:rsid w:val="00695E2E"/>
    <w:rsid w:val="0069603A"/>
    <w:rsid w:val="006966E9"/>
    <w:rsid w:val="00697802"/>
    <w:rsid w:val="00697ABF"/>
    <w:rsid w:val="006A1D67"/>
    <w:rsid w:val="006A34FB"/>
    <w:rsid w:val="006A3986"/>
    <w:rsid w:val="006A39A8"/>
    <w:rsid w:val="006A447C"/>
    <w:rsid w:val="006A4D1A"/>
    <w:rsid w:val="006A5BF2"/>
    <w:rsid w:val="006A7BBC"/>
    <w:rsid w:val="006B1275"/>
    <w:rsid w:val="006B1AB2"/>
    <w:rsid w:val="006B1C9E"/>
    <w:rsid w:val="006B1EFA"/>
    <w:rsid w:val="006B2158"/>
    <w:rsid w:val="006B2CCC"/>
    <w:rsid w:val="006B32FF"/>
    <w:rsid w:val="006B42CD"/>
    <w:rsid w:val="006B4B15"/>
    <w:rsid w:val="006B71C3"/>
    <w:rsid w:val="006B72EF"/>
    <w:rsid w:val="006B75AC"/>
    <w:rsid w:val="006B79F3"/>
    <w:rsid w:val="006B7FBA"/>
    <w:rsid w:val="006C0033"/>
    <w:rsid w:val="006C02D1"/>
    <w:rsid w:val="006C1ADF"/>
    <w:rsid w:val="006C1EED"/>
    <w:rsid w:val="006C21D0"/>
    <w:rsid w:val="006C22E5"/>
    <w:rsid w:val="006C51BC"/>
    <w:rsid w:val="006C6532"/>
    <w:rsid w:val="006C653E"/>
    <w:rsid w:val="006C65D8"/>
    <w:rsid w:val="006C6AB2"/>
    <w:rsid w:val="006D0061"/>
    <w:rsid w:val="006D0488"/>
    <w:rsid w:val="006D231A"/>
    <w:rsid w:val="006D24B0"/>
    <w:rsid w:val="006D331D"/>
    <w:rsid w:val="006D371C"/>
    <w:rsid w:val="006D4C07"/>
    <w:rsid w:val="006D542C"/>
    <w:rsid w:val="006D553E"/>
    <w:rsid w:val="006D5D93"/>
    <w:rsid w:val="006D746C"/>
    <w:rsid w:val="006D7A89"/>
    <w:rsid w:val="006D7FC8"/>
    <w:rsid w:val="006E0539"/>
    <w:rsid w:val="006E162F"/>
    <w:rsid w:val="006E21A0"/>
    <w:rsid w:val="006E2CED"/>
    <w:rsid w:val="006E307E"/>
    <w:rsid w:val="006E49BF"/>
    <w:rsid w:val="006E4AE1"/>
    <w:rsid w:val="006E4C45"/>
    <w:rsid w:val="006E534A"/>
    <w:rsid w:val="006E5EB9"/>
    <w:rsid w:val="006E7943"/>
    <w:rsid w:val="006F16CF"/>
    <w:rsid w:val="006F29B0"/>
    <w:rsid w:val="006F2A72"/>
    <w:rsid w:val="006F2E53"/>
    <w:rsid w:val="006F30F1"/>
    <w:rsid w:val="006F3849"/>
    <w:rsid w:val="006F3E3E"/>
    <w:rsid w:val="006F4E5C"/>
    <w:rsid w:val="006F56F3"/>
    <w:rsid w:val="006F5E6A"/>
    <w:rsid w:val="006F7F12"/>
    <w:rsid w:val="00700ACE"/>
    <w:rsid w:val="0070158F"/>
    <w:rsid w:val="007033BD"/>
    <w:rsid w:val="00703A4B"/>
    <w:rsid w:val="00705713"/>
    <w:rsid w:val="00705B7C"/>
    <w:rsid w:val="007064A8"/>
    <w:rsid w:val="007070BC"/>
    <w:rsid w:val="00707CD2"/>
    <w:rsid w:val="007119B8"/>
    <w:rsid w:val="00712141"/>
    <w:rsid w:val="007122C4"/>
    <w:rsid w:val="00714287"/>
    <w:rsid w:val="00714E64"/>
    <w:rsid w:val="00715BD6"/>
    <w:rsid w:val="007161EB"/>
    <w:rsid w:val="00716779"/>
    <w:rsid w:val="0071698B"/>
    <w:rsid w:val="007176CC"/>
    <w:rsid w:val="00720CCC"/>
    <w:rsid w:val="00720FFF"/>
    <w:rsid w:val="007211D8"/>
    <w:rsid w:val="00721377"/>
    <w:rsid w:val="00721A07"/>
    <w:rsid w:val="00722086"/>
    <w:rsid w:val="00722B5D"/>
    <w:rsid w:val="00722C9D"/>
    <w:rsid w:val="00723F75"/>
    <w:rsid w:val="007246E0"/>
    <w:rsid w:val="00725569"/>
    <w:rsid w:val="007269E1"/>
    <w:rsid w:val="00726AD9"/>
    <w:rsid w:val="007274DA"/>
    <w:rsid w:val="00727847"/>
    <w:rsid w:val="00730BBA"/>
    <w:rsid w:val="00731D1F"/>
    <w:rsid w:val="007321ED"/>
    <w:rsid w:val="007323EE"/>
    <w:rsid w:val="0073240A"/>
    <w:rsid w:val="00732A63"/>
    <w:rsid w:val="00733DA6"/>
    <w:rsid w:val="00734ED4"/>
    <w:rsid w:val="00736328"/>
    <w:rsid w:val="00736612"/>
    <w:rsid w:val="00736E1A"/>
    <w:rsid w:val="007374FD"/>
    <w:rsid w:val="0074146A"/>
    <w:rsid w:val="00741C44"/>
    <w:rsid w:val="007423C9"/>
    <w:rsid w:val="007429F3"/>
    <w:rsid w:val="00743A70"/>
    <w:rsid w:val="00744D99"/>
    <w:rsid w:val="0074665F"/>
    <w:rsid w:val="00746A72"/>
    <w:rsid w:val="0074789D"/>
    <w:rsid w:val="00747F32"/>
    <w:rsid w:val="00747FF6"/>
    <w:rsid w:val="007512DA"/>
    <w:rsid w:val="00751602"/>
    <w:rsid w:val="007543C8"/>
    <w:rsid w:val="00756209"/>
    <w:rsid w:val="00756ADD"/>
    <w:rsid w:val="00756E8A"/>
    <w:rsid w:val="00757DE9"/>
    <w:rsid w:val="007608F0"/>
    <w:rsid w:val="00761873"/>
    <w:rsid w:val="0076291B"/>
    <w:rsid w:val="00762A09"/>
    <w:rsid w:val="007633DF"/>
    <w:rsid w:val="00764EBE"/>
    <w:rsid w:val="00764F1B"/>
    <w:rsid w:val="00765323"/>
    <w:rsid w:val="007661D0"/>
    <w:rsid w:val="00767566"/>
    <w:rsid w:val="00770065"/>
    <w:rsid w:val="00770B0C"/>
    <w:rsid w:val="00770C87"/>
    <w:rsid w:val="007713DB"/>
    <w:rsid w:val="00771A36"/>
    <w:rsid w:val="00771A89"/>
    <w:rsid w:val="00771C07"/>
    <w:rsid w:val="00772921"/>
    <w:rsid w:val="0077298C"/>
    <w:rsid w:val="00774420"/>
    <w:rsid w:val="007744A2"/>
    <w:rsid w:val="00774F2A"/>
    <w:rsid w:val="00775CEC"/>
    <w:rsid w:val="007761E6"/>
    <w:rsid w:val="007764B7"/>
    <w:rsid w:val="00776F60"/>
    <w:rsid w:val="00777B34"/>
    <w:rsid w:val="007805B8"/>
    <w:rsid w:val="00780B99"/>
    <w:rsid w:val="007812A2"/>
    <w:rsid w:val="007816B9"/>
    <w:rsid w:val="00781AA0"/>
    <w:rsid w:val="00782EB5"/>
    <w:rsid w:val="007830DF"/>
    <w:rsid w:val="0078322A"/>
    <w:rsid w:val="00783BC4"/>
    <w:rsid w:val="00783D39"/>
    <w:rsid w:val="00783FA3"/>
    <w:rsid w:val="007846E4"/>
    <w:rsid w:val="00784DEA"/>
    <w:rsid w:val="00785685"/>
    <w:rsid w:val="0078594D"/>
    <w:rsid w:val="007867A3"/>
    <w:rsid w:val="00787787"/>
    <w:rsid w:val="00787C67"/>
    <w:rsid w:val="00787F4B"/>
    <w:rsid w:val="00790535"/>
    <w:rsid w:val="00791BA8"/>
    <w:rsid w:val="007939EF"/>
    <w:rsid w:val="00793ED0"/>
    <w:rsid w:val="0079574A"/>
    <w:rsid w:val="00795DA0"/>
    <w:rsid w:val="00796B6A"/>
    <w:rsid w:val="00797F37"/>
    <w:rsid w:val="007A00F0"/>
    <w:rsid w:val="007A05B1"/>
    <w:rsid w:val="007A0622"/>
    <w:rsid w:val="007A071A"/>
    <w:rsid w:val="007A1793"/>
    <w:rsid w:val="007A1A7E"/>
    <w:rsid w:val="007A228E"/>
    <w:rsid w:val="007A2CB6"/>
    <w:rsid w:val="007A501F"/>
    <w:rsid w:val="007A7240"/>
    <w:rsid w:val="007A73C1"/>
    <w:rsid w:val="007B030A"/>
    <w:rsid w:val="007B1BDC"/>
    <w:rsid w:val="007B1E4F"/>
    <w:rsid w:val="007B2AD9"/>
    <w:rsid w:val="007B3F1E"/>
    <w:rsid w:val="007B5A0F"/>
    <w:rsid w:val="007B670E"/>
    <w:rsid w:val="007B6779"/>
    <w:rsid w:val="007B6937"/>
    <w:rsid w:val="007B76ED"/>
    <w:rsid w:val="007C067A"/>
    <w:rsid w:val="007C0E27"/>
    <w:rsid w:val="007C0E28"/>
    <w:rsid w:val="007C1BD8"/>
    <w:rsid w:val="007C1E87"/>
    <w:rsid w:val="007C28E2"/>
    <w:rsid w:val="007C30BC"/>
    <w:rsid w:val="007C59B1"/>
    <w:rsid w:val="007C61EC"/>
    <w:rsid w:val="007C67A6"/>
    <w:rsid w:val="007C6A8B"/>
    <w:rsid w:val="007C796C"/>
    <w:rsid w:val="007C7C22"/>
    <w:rsid w:val="007C7C78"/>
    <w:rsid w:val="007D0432"/>
    <w:rsid w:val="007D0D4B"/>
    <w:rsid w:val="007D155D"/>
    <w:rsid w:val="007D280E"/>
    <w:rsid w:val="007D3A6C"/>
    <w:rsid w:val="007D588F"/>
    <w:rsid w:val="007D5AE6"/>
    <w:rsid w:val="007D6462"/>
    <w:rsid w:val="007D67B9"/>
    <w:rsid w:val="007D6E88"/>
    <w:rsid w:val="007D7605"/>
    <w:rsid w:val="007D7FFC"/>
    <w:rsid w:val="007E0FBE"/>
    <w:rsid w:val="007E3534"/>
    <w:rsid w:val="007E43A2"/>
    <w:rsid w:val="007E4755"/>
    <w:rsid w:val="007E4852"/>
    <w:rsid w:val="007E5695"/>
    <w:rsid w:val="007E61F4"/>
    <w:rsid w:val="007E6A54"/>
    <w:rsid w:val="007E7173"/>
    <w:rsid w:val="007F0A19"/>
    <w:rsid w:val="007F2904"/>
    <w:rsid w:val="007F2958"/>
    <w:rsid w:val="007F4395"/>
    <w:rsid w:val="007F4664"/>
    <w:rsid w:val="007F4AF8"/>
    <w:rsid w:val="007F5476"/>
    <w:rsid w:val="007F562C"/>
    <w:rsid w:val="007F57AB"/>
    <w:rsid w:val="007F5E91"/>
    <w:rsid w:val="007F5FBA"/>
    <w:rsid w:val="007F66FE"/>
    <w:rsid w:val="007F78B5"/>
    <w:rsid w:val="007F78F6"/>
    <w:rsid w:val="00801CDC"/>
    <w:rsid w:val="008034D7"/>
    <w:rsid w:val="0080366D"/>
    <w:rsid w:val="00804404"/>
    <w:rsid w:val="00804407"/>
    <w:rsid w:val="00804B86"/>
    <w:rsid w:val="0080556F"/>
    <w:rsid w:val="00805FBB"/>
    <w:rsid w:val="0080606C"/>
    <w:rsid w:val="008061DD"/>
    <w:rsid w:val="008067D6"/>
    <w:rsid w:val="00806ACA"/>
    <w:rsid w:val="00807680"/>
    <w:rsid w:val="00807A41"/>
    <w:rsid w:val="00807FF3"/>
    <w:rsid w:val="00810838"/>
    <w:rsid w:val="00811BED"/>
    <w:rsid w:val="00811FA6"/>
    <w:rsid w:val="00812F32"/>
    <w:rsid w:val="008130DE"/>
    <w:rsid w:val="00814606"/>
    <w:rsid w:val="008146C9"/>
    <w:rsid w:val="0081479F"/>
    <w:rsid w:val="00816BD4"/>
    <w:rsid w:val="0081709A"/>
    <w:rsid w:val="008219E3"/>
    <w:rsid w:val="00822293"/>
    <w:rsid w:val="00822961"/>
    <w:rsid w:val="00822FB0"/>
    <w:rsid w:val="00824A1A"/>
    <w:rsid w:val="00824AFF"/>
    <w:rsid w:val="00824CAC"/>
    <w:rsid w:val="00824D4B"/>
    <w:rsid w:val="00824D5B"/>
    <w:rsid w:val="00825E97"/>
    <w:rsid w:val="00825FC6"/>
    <w:rsid w:val="008276C3"/>
    <w:rsid w:val="00827C37"/>
    <w:rsid w:val="00830956"/>
    <w:rsid w:val="00830AA0"/>
    <w:rsid w:val="00831CEF"/>
    <w:rsid w:val="00832DF0"/>
    <w:rsid w:val="00833813"/>
    <w:rsid w:val="00833F8E"/>
    <w:rsid w:val="0083525A"/>
    <w:rsid w:val="0083671D"/>
    <w:rsid w:val="00836B35"/>
    <w:rsid w:val="008408B3"/>
    <w:rsid w:val="00840A0B"/>
    <w:rsid w:val="0084235E"/>
    <w:rsid w:val="008429E4"/>
    <w:rsid w:val="008434BC"/>
    <w:rsid w:val="00843B8B"/>
    <w:rsid w:val="008441F9"/>
    <w:rsid w:val="0084667E"/>
    <w:rsid w:val="008500D7"/>
    <w:rsid w:val="008508A3"/>
    <w:rsid w:val="008516E2"/>
    <w:rsid w:val="00852BBB"/>
    <w:rsid w:val="0085371E"/>
    <w:rsid w:val="008537E2"/>
    <w:rsid w:val="00854390"/>
    <w:rsid w:val="0085595B"/>
    <w:rsid w:val="00855A95"/>
    <w:rsid w:val="00856BAA"/>
    <w:rsid w:val="0085771E"/>
    <w:rsid w:val="008578FC"/>
    <w:rsid w:val="00860246"/>
    <w:rsid w:val="0086073F"/>
    <w:rsid w:val="008619E1"/>
    <w:rsid w:val="00862049"/>
    <w:rsid w:val="00862547"/>
    <w:rsid w:val="00862E7F"/>
    <w:rsid w:val="00863B70"/>
    <w:rsid w:val="00864033"/>
    <w:rsid w:val="00864931"/>
    <w:rsid w:val="00864DC8"/>
    <w:rsid w:val="008657B4"/>
    <w:rsid w:val="00867133"/>
    <w:rsid w:val="008678A8"/>
    <w:rsid w:val="00867B51"/>
    <w:rsid w:val="00870154"/>
    <w:rsid w:val="00870BF3"/>
    <w:rsid w:val="008710D5"/>
    <w:rsid w:val="00873CEB"/>
    <w:rsid w:val="0087477D"/>
    <w:rsid w:val="008749FB"/>
    <w:rsid w:val="00874CB1"/>
    <w:rsid w:val="0087500E"/>
    <w:rsid w:val="00875BDF"/>
    <w:rsid w:val="0088135D"/>
    <w:rsid w:val="008820A3"/>
    <w:rsid w:val="0088228C"/>
    <w:rsid w:val="00882F11"/>
    <w:rsid w:val="008832F4"/>
    <w:rsid w:val="00884BE8"/>
    <w:rsid w:val="00886EDC"/>
    <w:rsid w:val="0088799F"/>
    <w:rsid w:val="00887A60"/>
    <w:rsid w:val="00890F63"/>
    <w:rsid w:val="0089110A"/>
    <w:rsid w:val="008913F0"/>
    <w:rsid w:val="008914F0"/>
    <w:rsid w:val="0089301D"/>
    <w:rsid w:val="008934C6"/>
    <w:rsid w:val="008956A5"/>
    <w:rsid w:val="00895CD3"/>
    <w:rsid w:val="008969E1"/>
    <w:rsid w:val="008975B4"/>
    <w:rsid w:val="008975C0"/>
    <w:rsid w:val="0089785B"/>
    <w:rsid w:val="008A1985"/>
    <w:rsid w:val="008A1F77"/>
    <w:rsid w:val="008A1F8D"/>
    <w:rsid w:val="008A21F6"/>
    <w:rsid w:val="008A35AB"/>
    <w:rsid w:val="008A49B6"/>
    <w:rsid w:val="008A4F4B"/>
    <w:rsid w:val="008A569C"/>
    <w:rsid w:val="008A6356"/>
    <w:rsid w:val="008A7322"/>
    <w:rsid w:val="008A7978"/>
    <w:rsid w:val="008B070D"/>
    <w:rsid w:val="008B0C14"/>
    <w:rsid w:val="008B0CE7"/>
    <w:rsid w:val="008B3B11"/>
    <w:rsid w:val="008B480B"/>
    <w:rsid w:val="008B5479"/>
    <w:rsid w:val="008B58A7"/>
    <w:rsid w:val="008B6282"/>
    <w:rsid w:val="008B6871"/>
    <w:rsid w:val="008B6BF5"/>
    <w:rsid w:val="008C035B"/>
    <w:rsid w:val="008C0B0B"/>
    <w:rsid w:val="008C0D76"/>
    <w:rsid w:val="008C1239"/>
    <w:rsid w:val="008C1B8E"/>
    <w:rsid w:val="008C250F"/>
    <w:rsid w:val="008C2CCC"/>
    <w:rsid w:val="008C3A89"/>
    <w:rsid w:val="008C3B4E"/>
    <w:rsid w:val="008C47E1"/>
    <w:rsid w:val="008C4B2D"/>
    <w:rsid w:val="008C4DA4"/>
    <w:rsid w:val="008C6B21"/>
    <w:rsid w:val="008C7D7C"/>
    <w:rsid w:val="008D01FF"/>
    <w:rsid w:val="008D0291"/>
    <w:rsid w:val="008D0C8C"/>
    <w:rsid w:val="008D0CCF"/>
    <w:rsid w:val="008D16E0"/>
    <w:rsid w:val="008D2FBF"/>
    <w:rsid w:val="008D425B"/>
    <w:rsid w:val="008D4DC8"/>
    <w:rsid w:val="008D5EE9"/>
    <w:rsid w:val="008D5F91"/>
    <w:rsid w:val="008D771D"/>
    <w:rsid w:val="008E017E"/>
    <w:rsid w:val="008E0812"/>
    <w:rsid w:val="008E21A9"/>
    <w:rsid w:val="008E2EF5"/>
    <w:rsid w:val="008E3096"/>
    <w:rsid w:val="008E4842"/>
    <w:rsid w:val="008E4BB0"/>
    <w:rsid w:val="008E52FF"/>
    <w:rsid w:val="008E69CF"/>
    <w:rsid w:val="008E6A95"/>
    <w:rsid w:val="008E72DD"/>
    <w:rsid w:val="008E741D"/>
    <w:rsid w:val="008E7E7F"/>
    <w:rsid w:val="008F0026"/>
    <w:rsid w:val="008F052D"/>
    <w:rsid w:val="008F0BB9"/>
    <w:rsid w:val="008F160E"/>
    <w:rsid w:val="008F24AE"/>
    <w:rsid w:val="008F2549"/>
    <w:rsid w:val="008F2FA7"/>
    <w:rsid w:val="008F4234"/>
    <w:rsid w:val="008F528C"/>
    <w:rsid w:val="008F54BA"/>
    <w:rsid w:val="008F59F3"/>
    <w:rsid w:val="008F6178"/>
    <w:rsid w:val="008F640A"/>
    <w:rsid w:val="008F6BE0"/>
    <w:rsid w:val="008F7F87"/>
    <w:rsid w:val="00900791"/>
    <w:rsid w:val="00901A8A"/>
    <w:rsid w:val="00902644"/>
    <w:rsid w:val="00902F9C"/>
    <w:rsid w:val="0090327D"/>
    <w:rsid w:val="00903280"/>
    <w:rsid w:val="00903973"/>
    <w:rsid w:val="009044CA"/>
    <w:rsid w:val="009044F2"/>
    <w:rsid w:val="009046DF"/>
    <w:rsid w:val="009060AB"/>
    <w:rsid w:val="0090653F"/>
    <w:rsid w:val="00910E70"/>
    <w:rsid w:val="00911193"/>
    <w:rsid w:val="00912BF1"/>
    <w:rsid w:val="009134AD"/>
    <w:rsid w:val="0091361F"/>
    <w:rsid w:val="00913710"/>
    <w:rsid w:val="00913BC7"/>
    <w:rsid w:val="0091403F"/>
    <w:rsid w:val="00914F7E"/>
    <w:rsid w:val="00915E2A"/>
    <w:rsid w:val="009205CD"/>
    <w:rsid w:val="00921F70"/>
    <w:rsid w:val="00921F8A"/>
    <w:rsid w:val="00922189"/>
    <w:rsid w:val="00922A53"/>
    <w:rsid w:val="009238D0"/>
    <w:rsid w:val="00923A97"/>
    <w:rsid w:val="009246C8"/>
    <w:rsid w:val="009252AA"/>
    <w:rsid w:val="0092562B"/>
    <w:rsid w:val="00925B1D"/>
    <w:rsid w:val="00925CA8"/>
    <w:rsid w:val="00926CBC"/>
    <w:rsid w:val="009270D5"/>
    <w:rsid w:val="009272A1"/>
    <w:rsid w:val="00927D50"/>
    <w:rsid w:val="00927F12"/>
    <w:rsid w:val="00930A02"/>
    <w:rsid w:val="00930A0B"/>
    <w:rsid w:val="009318AA"/>
    <w:rsid w:val="00931CC4"/>
    <w:rsid w:val="009325DE"/>
    <w:rsid w:val="009331D3"/>
    <w:rsid w:val="00933997"/>
    <w:rsid w:val="00934231"/>
    <w:rsid w:val="0093428A"/>
    <w:rsid w:val="00934A84"/>
    <w:rsid w:val="0093536B"/>
    <w:rsid w:val="00935422"/>
    <w:rsid w:val="00935483"/>
    <w:rsid w:val="00935D35"/>
    <w:rsid w:val="009369FB"/>
    <w:rsid w:val="00937267"/>
    <w:rsid w:val="0093726F"/>
    <w:rsid w:val="00937477"/>
    <w:rsid w:val="00937877"/>
    <w:rsid w:val="00937CF9"/>
    <w:rsid w:val="009410F3"/>
    <w:rsid w:val="009418C0"/>
    <w:rsid w:val="00941B75"/>
    <w:rsid w:val="00942F21"/>
    <w:rsid w:val="00945302"/>
    <w:rsid w:val="00945345"/>
    <w:rsid w:val="009467B7"/>
    <w:rsid w:val="0094791A"/>
    <w:rsid w:val="009479A6"/>
    <w:rsid w:val="00947F76"/>
    <w:rsid w:val="0095335D"/>
    <w:rsid w:val="00954087"/>
    <w:rsid w:val="0095426C"/>
    <w:rsid w:val="00954A03"/>
    <w:rsid w:val="00955553"/>
    <w:rsid w:val="00955A37"/>
    <w:rsid w:val="00956573"/>
    <w:rsid w:val="00956D8E"/>
    <w:rsid w:val="0096009E"/>
    <w:rsid w:val="009618A1"/>
    <w:rsid w:val="0096199D"/>
    <w:rsid w:val="00961ACE"/>
    <w:rsid w:val="009632F6"/>
    <w:rsid w:val="009634F5"/>
    <w:rsid w:val="00963940"/>
    <w:rsid w:val="00965046"/>
    <w:rsid w:val="00965099"/>
    <w:rsid w:val="009655DC"/>
    <w:rsid w:val="00965CF4"/>
    <w:rsid w:val="00965EBC"/>
    <w:rsid w:val="009661E3"/>
    <w:rsid w:val="009666E1"/>
    <w:rsid w:val="00966D3C"/>
    <w:rsid w:val="00970114"/>
    <w:rsid w:val="0097384F"/>
    <w:rsid w:val="00974A0D"/>
    <w:rsid w:val="00974E43"/>
    <w:rsid w:val="009757EC"/>
    <w:rsid w:val="00976562"/>
    <w:rsid w:val="00976E18"/>
    <w:rsid w:val="009777D0"/>
    <w:rsid w:val="00980832"/>
    <w:rsid w:val="00981659"/>
    <w:rsid w:val="00981ED3"/>
    <w:rsid w:val="0098269C"/>
    <w:rsid w:val="00982A9B"/>
    <w:rsid w:val="00983432"/>
    <w:rsid w:val="00983788"/>
    <w:rsid w:val="00984771"/>
    <w:rsid w:val="00984AF1"/>
    <w:rsid w:val="00985E03"/>
    <w:rsid w:val="00987F05"/>
    <w:rsid w:val="009907AE"/>
    <w:rsid w:val="009923CF"/>
    <w:rsid w:val="00993428"/>
    <w:rsid w:val="00993726"/>
    <w:rsid w:val="0099458D"/>
    <w:rsid w:val="0099493C"/>
    <w:rsid w:val="00994EE4"/>
    <w:rsid w:val="00995C79"/>
    <w:rsid w:val="009A088F"/>
    <w:rsid w:val="009A23FA"/>
    <w:rsid w:val="009A2559"/>
    <w:rsid w:val="009A2B68"/>
    <w:rsid w:val="009A411F"/>
    <w:rsid w:val="009A4CF2"/>
    <w:rsid w:val="009A5861"/>
    <w:rsid w:val="009A5FF4"/>
    <w:rsid w:val="009A6ED3"/>
    <w:rsid w:val="009A7AD1"/>
    <w:rsid w:val="009B3A5E"/>
    <w:rsid w:val="009B3C2D"/>
    <w:rsid w:val="009B49F8"/>
    <w:rsid w:val="009B6359"/>
    <w:rsid w:val="009B6CE4"/>
    <w:rsid w:val="009B6F0C"/>
    <w:rsid w:val="009B7F39"/>
    <w:rsid w:val="009C0424"/>
    <w:rsid w:val="009C0A38"/>
    <w:rsid w:val="009C1C6E"/>
    <w:rsid w:val="009C1FB9"/>
    <w:rsid w:val="009C2392"/>
    <w:rsid w:val="009C2546"/>
    <w:rsid w:val="009C315C"/>
    <w:rsid w:val="009C38C9"/>
    <w:rsid w:val="009C4F9B"/>
    <w:rsid w:val="009C5394"/>
    <w:rsid w:val="009C57F5"/>
    <w:rsid w:val="009C5C59"/>
    <w:rsid w:val="009C5CDB"/>
    <w:rsid w:val="009C65F1"/>
    <w:rsid w:val="009C7A58"/>
    <w:rsid w:val="009D11AB"/>
    <w:rsid w:val="009D14F0"/>
    <w:rsid w:val="009D21BE"/>
    <w:rsid w:val="009D2541"/>
    <w:rsid w:val="009D40A7"/>
    <w:rsid w:val="009D4416"/>
    <w:rsid w:val="009D45F6"/>
    <w:rsid w:val="009D48A7"/>
    <w:rsid w:val="009D5D6A"/>
    <w:rsid w:val="009D6A26"/>
    <w:rsid w:val="009E04B4"/>
    <w:rsid w:val="009E07AF"/>
    <w:rsid w:val="009E1320"/>
    <w:rsid w:val="009E1EA1"/>
    <w:rsid w:val="009E2A74"/>
    <w:rsid w:val="009E2F93"/>
    <w:rsid w:val="009E4785"/>
    <w:rsid w:val="009E5827"/>
    <w:rsid w:val="009E615C"/>
    <w:rsid w:val="009E762D"/>
    <w:rsid w:val="009F23EA"/>
    <w:rsid w:val="009F2435"/>
    <w:rsid w:val="009F2C90"/>
    <w:rsid w:val="009F2CB6"/>
    <w:rsid w:val="009F4A71"/>
    <w:rsid w:val="009F698C"/>
    <w:rsid w:val="009F71BF"/>
    <w:rsid w:val="00A003B5"/>
    <w:rsid w:val="00A00D15"/>
    <w:rsid w:val="00A00D99"/>
    <w:rsid w:val="00A01522"/>
    <w:rsid w:val="00A01839"/>
    <w:rsid w:val="00A01D11"/>
    <w:rsid w:val="00A0264F"/>
    <w:rsid w:val="00A04121"/>
    <w:rsid w:val="00A056EA"/>
    <w:rsid w:val="00A05785"/>
    <w:rsid w:val="00A05D64"/>
    <w:rsid w:val="00A066FC"/>
    <w:rsid w:val="00A06A79"/>
    <w:rsid w:val="00A07009"/>
    <w:rsid w:val="00A0720E"/>
    <w:rsid w:val="00A10A49"/>
    <w:rsid w:val="00A1213B"/>
    <w:rsid w:val="00A12256"/>
    <w:rsid w:val="00A12292"/>
    <w:rsid w:val="00A1288B"/>
    <w:rsid w:val="00A1395A"/>
    <w:rsid w:val="00A13FAE"/>
    <w:rsid w:val="00A14CD9"/>
    <w:rsid w:val="00A155D2"/>
    <w:rsid w:val="00A15750"/>
    <w:rsid w:val="00A15868"/>
    <w:rsid w:val="00A16A48"/>
    <w:rsid w:val="00A177A1"/>
    <w:rsid w:val="00A17FE0"/>
    <w:rsid w:val="00A2053D"/>
    <w:rsid w:val="00A2069B"/>
    <w:rsid w:val="00A209A8"/>
    <w:rsid w:val="00A221A6"/>
    <w:rsid w:val="00A224BC"/>
    <w:rsid w:val="00A229E9"/>
    <w:rsid w:val="00A24065"/>
    <w:rsid w:val="00A2428C"/>
    <w:rsid w:val="00A268F7"/>
    <w:rsid w:val="00A2761B"/>
    <w:rsid w:val="00A3059F"/>
    <w:rsid w:val="00A305A7"/>
    <w:rsid w:val="00A31C8C"/>
    <w:rsid w:val="00A32C82"/>
    <w:rsid w:val="00A32D85"/>
    <w:rsid w:val="00A342ED"/>
    <w:rsid w:val="00A35A8F"/>
    <w:rsid w:val="00A35D6F"/>
    <w:rsid w:val="00A36BA8"/>
    <w:rsid w:val="00A37752"/>
    <w:rsid w:val="00A37832"/>
    <w:rsid w:val="00A37F1E"/>
    <w:rsid w:val="00A41513"/>
    <w:rsid w:val="00A41C98"/>
    <w:rsid w:val="00A41E2A"/>
    <w:rsid w:val="00A41F79"/>
    <w:rsid w:val="00A436DD"/>
    <w:rsid w:val="00A43847"/>
    <w:rsid w:val="00A43B37"/>
    <w:rsid w:val="00A44304"/>
    <w:rsid w:val="00A44C3D"/>
    <w:rsid w:val="00A45A85"/>
    <w:rsid w:val="00A45C52"/>
    <w:rsid w:val="00A4648D"/>
    <w:rsid w:val="00A471B9"/>
    <w:rsid w:val="00A475A3"/>
    <w:rsid w:val="00A477A6"/>
    <w:rsid w:val="00A47810"/>
    <w:rsid w:val="00A5108A"/>
    <w:rsid w:val="00A516FB"/>
    <w:rsid w:val="00A526E0"/>
    <w:rsid w:val="00A52780"/>
    <w:rsid w:val="00A52B69"/>
    <w:rsid w:val="00A531C5"/>
    <w:rsid w:val="00A534E2"/>
    <w:rsid w:val="00A53724"/>
    <w:rsid w:val="00A54181"/>
    <w:rsid w:val="00A548D4"/>
    <w:rsid w:val="00A54E38"/>
    <w:rsid w:val="00A55496"/>
    <w:rsid w:val="00A56218"/>
    <w:rsid w:val="00A57302"/>
    <w:rsid w:val="00A6007E"/>
    <w:rsid w:val="00A6053F"/>
    <w:rsid w:val="00A6057F"/>
    <w:rsid w:val="00A61565"/>
    <w:rsid w:val="00A61808"/>
    <w:rsid w:val="00A6188F"/>
    <w:rsid w:val="00A6226B"/>
    <w:rsid w:val="00A63ABE"/>
    <w:rsid w:val="00A6458D"/>
    <w:rsid w:val="00A6635B"/>
    <w:rsid w:val="00A67C5E"/>
    <w:rsid w:val="00A7123D"/>
    <w:rsid w:val="00A71E4F"/>
    <w:rsid w:val="00A7230A"/>
    <w:rsid w:val="00A733CC"/>
    <w:rsid w:val="00A7353F"/>
    <w:rsid w:val="00A74B5D"/>
    <w:rsid w:val="00A756C4"/>
    <w:rsid w:val="00A75963"/>
    <w:rsid w:val="00A76129"/>
    <w:rsid w:val="00A7658E"/>
    <w:rsid w:val="00A76C23"/>
    <w:rsid w:val="00A771C0"/>
    <w:rsid w:val="00A777D4"/>
    <w:rsid w:val="00A80523"/>
    <w:rsid w:val="00A80A41"/>
    <w:rsid w:val="00A813E3"/>
    <w:rsid w:val="00A82518"/>
    <w:rsid w:val="00A827BD"/>
    <w:rsid w:val="00A8355E"/>
    <w:rsid w:val="00A839C7"/>
    <w:rsid w:val="00A84271"/>
    <w:rsid w:val="00A855DA"/>
    <w:rsid w:val="00A85B09"/>
    <w:rsid w:val="00A86394"/>
    <w:rsid w:val="00A87097"/>
    <w:rsid w:val="00A87A29"/>
    <w:rsid w:val="00A87EEC"/>
    <w:rsid w:val="00A90A52"/>
    <w:rsid w:val="00A955F6"/>
    <w:rsid w:val="00A95B43"/>
    <w:rsid w:val="00A9601F"/>
    <w:rsid w:val="00A96D84"/>
    <w:rsid w:val="00A96DAA"/>
    <w:rsid w:val="00A9777B"/>
    <w:rsid w:val="00AA043E"/>
    <w:rsid w:val="00AA0447"/>
    <w:rsid w:val="00AA10A8"/>
    <w:rsid w:val="00AA2467"/>
    <w:rsid w:val="00AA4105"/>
    <w:rsid w:val="00AA47D3"/>
    <w:rsid w:val="00AA6274"/>
    <w:rsid w:val="00AA64A7"/>
    <w:rsid w:val="00AA660F"/>
    <w:rsid w:val="00AA67B0"/>
    <w:rsid w:val="00AA696C"/>
    <w:rsid w:val="00AA7327"/>
    <w:rsid w:val="00AB06B4"/>
    <w:rsid w:val="00AB06DB"/>
    <w:rsid w:val="00AB14FF"/>
    <w:rsid w:val="00AB1607"/>
    <w:rsid w:val="00AB1910"/>
    <w:rsid w:val="00AB2D17"/>
    <w:rsid w:val="00AB33DA"/>
    <w:rsid w:val="00AB3D87"/>
    <w:rsid w:val="00AB595C"/>
    <w:rsid w:val="00AC155C"/>
    <w:rsid w:val="00AC1971"/>
    <w:rsid w:val="00AC1CE8"/>
    <w:rsid w:val="00AC1F4E"/>
    <w:rsid w:val="00AC3075"/>
    <w:rsid w:val="00AC3184"/>
    <w:rsid w:val="00AC330F"/>
    <w:rsid w:val="00AC39D4"/>
    <w:rsid w:val="00AC4685"/>
    <w:rsid w:val="00AC5DD8"/>
    <w:rsid w:val="00AC6207"/>
    <w:rsid w:val="00AC733B"/>
    <w:rsid w:val="00AC73EA"/>
    <w:rsid w:val="00AD042D"/>
    <w:rsid w:val="00AD18D1"/>
    <w:rsid w:val="00AD24C6"/>
    <w:rsid w:val="00AD2C74"/>
    <w:rsid w:val="00AD32D4"/>
    <w:rsid w:val="00AD3AD0"/>
    <w:rsid w:val="00AD3C68"/>
    <w:rsid w:val="00AD3D5F"/>
    <w:rsid w:val="00AD44AD"/>
    <w:rsid w:val="00AD53EF"/>
    <w:rsid w:val="00AD57BA"/>
    <w:rsid w:val="00AD5DF4"/>
    <w:rsid w:val="00AD683E"/>
    <w:rsid w:val="00AD6A9C"/>
    <w:rsid w:val="00AE027D"/>
    <w:rsid w:val="00AE2848"/>
    <w:rsid w:val="00AE2B55"/>
    <w:rsid w:val="00AE3BD4"/>
    <w:rsid w:val="00AE3D66"/>
    <w:rsid w:val="00AE4BB2"/>
    <w:rsid w:val="00AE4C84"/>
    <w:rsid w:val="00AE58B0"/>
    <w:rsid w:val="00AE6069"/>
    <w:rsid w:val="00AE7348"/>
    <w:rsid w:val="00AE79AB"/>
    <w:rsid w:val="00AE7B88"/>
    <w:rsid w:val="00AE7D23"/>
    <w:rsid w:val="00AF001C"/>
    <w:rsid w:val="00AF10A0"/>
    <w:rsid w:val="00AF14D7"/>
    <w:rsid w:val="00AF2304"/>
    <w:rsid w:val="00AF5877"/>
    <w:rsid w:val="00AF5BF8"/>
    <w:rsid w:val="00AF5D5A"/>
    <w:rsid w:val="00AF6874"/>
    <w:rsid w:val="00B007D8"/>
    <w:rsid w:val="00B008C9"/>
    <w:rsid w:val="00B00A20"/>
    <w:rsid w:val="00B00EEC"/>
    <w:rsid w:val="00B012B7"/>
    <w:rsid w:val="00B0146A"/>
    <w:rsid w:val="00B0199A"/>
    <w:rsid w:val="00B0396B"/>
    <w:rsid w:val="00B048A9"/>
    <w:rsid w:val="00B05008"/>
    <w:rsid w:val="00B0505C"/>
    <w:rsid w:val="00B052BB"/>
    <w:rsid w:val="00B05933"/>
    <w:rsid w:val="00B05D23"/>
    <w:rsid w:val="00B0607A"/>
    <w:rsid w:val="00B06B33"/>
    <w:rsid w:val="00B10250"/>
    <w:rsid w:val="00B10CAE"/>
    <w:rsid w:val="00B11BDA"/>
    <w:rsid w:val="00B11FC1"/>
    <w:rsid w:val="00B1441F"/>
    <w:rsid w:val="00B159EA"/>
    <w:rsid w:val="00B165BC"/>
    <w:rsid w:val="00B168B8"/>
    <w:rsid w:val="00B16B3C"/>
    <w:rsid w:val="00B17C94"/>
    <w:rsid w:val="00B2041E"/>
    <w:rsid w:val="00B20613"/>
    <w:rsid w:val="00B20C46"/>
    <w:rsid w:val="00B21723"/>
    <w:rsid w:val="00B2222B"/>
    <w:rsid w:val="00B22438"/>
    <w:rsid w:val="00B225C7"/>
    <w:rsid w:val="00B22C6E"/>
    <w:rsid w:val="00B23E86"/>
    <w:rsid w:val="00B245E5"/>
    <w:rsid w:val="00B25EEB"/>
    <w:rsid w:val="00B2621B"/>
    <w:rsid w:val="00B2695A"/>
    <w:rsid w:val="00B27105"/>
    <w:rsid w:val="00B303D4"/>
    <w:rsid w:val="00B31A9D"/>
    <w:rsid w:val="00B32A53"/>
    <w:rsid w:val="00B32C09"/>
    <w:rsid w:val="00B32EF4"/>
    <w:rsid w:val="00B3362C"/>
    <w:rsid w:val="00B33F7B"/>
    <w:rsid w:val="00B342F5"/>
    <w:rsid w:val="00B362E8"/>
    <w:rsid w:val="00B3643E"/>
    <w:rsid w:val="00B36AE2"/>
    <w:rsid w:val="00B37545"/>
    <w:rsid w:val="00B40A2F"/>
    <w:rsid w:val="00B40DF5"/>
    <w:rsid w:val="00B419C5"/>
    <w:rsid w:val="00B420D1"/>
    <w:rsid w:val="00B422FC"/>
    <w:rsid w:val="00B42452"/>
    <w:rsid w:val="00B427EB"/>
    <w:rsid w:val="00B42CA3"/>
    <w:rsid w:val="00B444B9"/>
    <w:rsid w:val="00B468B3"/>
    <w:rsid w:val="00B469D8"/>
    <w:rsid w:val="00B478F0"/>
    <w:rsid w:val="00B5147C"/>
    <w:rsid w:val="00B5357F"/>
    <w:rsid w:val="00B556A7"/>
    <w:rsid w:val="00B5627D"/>
    <w:rsid w:val="00B573CD"/>
    <w:rsid w:val="00B57B70"/>
    <w:rsid w:val="00B60494"/>
    <w:rsid w:val="00B620C7"/>
    <w:rsid w:val="00B62796"/>
    <w:rsid w:val="00B638F0"/>
    <w:rsid w:val="00B63D35"/>
    <w:rsid w:val="00B63ED4"/>
    <w:rsid w:val="00B64BDA"/>
    <w:rsid w:val="00B66D38"/>
    <w:rsid w:val="00B679DD"/>
    <w:rsid w:val="00B70248"/>
    <w:rsid w:val="00B71580"/>
    <w:rsid w:val="00B7225D"/>
    <w:rsid w:val="00B72D04"/>
    <w:rsid w:val="00B7391E"/>
    <w:rsid w:val="00B7441E"/>
    <w:rsid w:val="00B75CF2"/>
    <w:rsid w:val="00B75D41"/>
    <w:rsid w:val="00B76D83"/>
    <w:rsid w:val="00B76F37"/>
    <w:rsid w:val="00B7737D"/>
    <w:rsid w:val="00B80500"/>
    <w:rsid w:val="00B80652"/>
    <w:rsid w:val="00B811D9"/>
    <w:rsid w:val="00B82197"/>
    <w:rsid w:val="00B82F05"/>
    <w:rsid w:val="00B82FD7"/>
    <w:rsid w:val="00B83751"/>
    <w:rsid w:val="00B84813"/>
    <w:rsid w:val="00B85580"/>
    <w:rsid w:val="00B85AD4"/>
    <w:rsid w:val="00B86582"/>
    <w:rsid w:val="00B86B06"/>
    <w:rsid w:val="00B86F20"/>
    <w:rsid w:val="00B86F8F"/>
    <w:rsid w:val="00B8762C"/>
    <w:rsid w:val="00B87928"/>
    <w:rsid w:val="00B87F63"/>
    <w:rsid w:val="00B9023F"/>
    <w:rsid w:val="00B927FA"/>
    <w:rsid w:val="00B92CD1"/>
    <w:rsid w:val="00B936D3"/>
    <w:rsid w:val="00B93FFE"/>
    <w:rsid w:val="00B96CDA"/>
    <w:rsid w:val="00B97438"/>
    <w:rsid w:val="00B97A41"/>
    <w:rsid w:val="00BA020B"/>
    <w:rsid w:val="00BA03E3"/>
    <w:rsid w:val="00BA0A3A"/>
    <w:rsid w:val="00BA11F1"/>
    <w:rsid w:val="00BA1558"/>
    <w:rsid w:val="00BA1A59"/>
    <w:rsid w:val="00BA277E"/>
    <w:rsid w:val="00BA4E0C"/>
    <w:rsid w:val="00BA4F85"/>
    <w:rsid w:val="00BA5043"/>
    <w:rsid w:val="00BA7276"/>
    <w:rsid w:val="00BB0691"/>
    <w:rsid w:val="00BB16D1"/>
    <w:rsid w:val="00BB1F58"/>
    <w:rsid w:val="00BB24F3"/>
    <w:rsid w:val="00BB2572"/>
    <w:rsid w:val="00BB2C81"/>
    <w:rsid w:val="00BB39A6"/>
    <w:rsid w:val="00BB420E"/>
    <w:rsid w:val="00BB4E8A"/>
    <w:rsid w:val="00BB5B41"/>
    <w:rsid w:val="00BB6CAC"/>
    <w:rsid w:val="00BB7513"/>
    <w:rsid w:val="00BB7933"/>
    <w:rsid w:val="00BC0701"/>
    <w:rsid w:val="00BC1567"/>
    <w:rsid w:val="00BC1BAD"/>
    <w:rsid w:val="00BC25BB"/>
    <w:rsid w:val="00BC2F1A"/>
    <w:rsid w:val="00BC4AEA"/>
    <w:rsid w:val="00BC5CE5"/>
    <w:rsid w:val="00BC7DEB"/>
    <w:rsid w:val="00BD01A6"/>
    <w:rsid w:val="00BD01ED"/>
    <w:rsid w:val="00BD1D3E"/>
    <w:rsid w:val="00BD28BA"/>
    <w:rsid w:val="00BD2A72"/>
    <w:rsid w:val="00BD3791"/>
    <w:rsid w:val="00BD4023"/>
    <w:rsid w:val="00BD54F5"/>
    <w:rsid w:val="00BD57CB"/>
    <w:rsid w:val="00BD7505"/>
    <w:rsid w:val="00BD7780"/>
    <w:rsid w:val="00BD7A8B"/>
    <w:rsid w:val="00BE2045"/>
    <w:rsid w:val="00BE20E7"/>
    <w:rsid w:val="00BE24EC"/>
    <w:rsid w:val="00BE3C05"/>
    <w:rsid w:val="00BE41D8"/>
    <w:rsid w:val="00BE48C9"/>
    <w:rsid w:val="00BE4AAF"/>
    <w:rsid w:val="00BE54AC"/>
    <w:rsid w:val="00BE5A8C"/>
    <w:rsid w:val="00BE6332"/>
    <w:rsid w:val="00BE6C71"/>
    <w:rsid w:val="00BE6E70"/>
    <w:rsid w:val="00BE7AA3"/>
    <w:rsid w:val="00BF0EF7"/>
    <w:rsid w:val="00BF10E5"/>
    <w:rsid w:val="00BF1955"/>
    <w:rsid w:val="00BF2C35"/>
    <w:rsid w:val="00BF37B4"/>
    <w:rsid w:val="00BF4ED0"/>
    <w:rsid w:val="00BF58BA"/>
    <w:rsid w:val="00BF722D"/>
    <w:rsid w:val="00C005C0"/>
    <w:rsid w:val="00C011FB"/>
    <w:rsid w:val="00C0196C"/>
    <w:rsid w:val="00C0265B"/>
    <w:rsid w:val="00C02DCF"/>
    <w:rsid w:val="00C034C5"/>
    <w:rsid w:val="00C03A69"/>
    <w:rsid w:val="00C04091"/>
    <w:rsid w:val="00C054BF"/>
    <w:rsid w:val="00C0553E"/>
    <w:rsid w:val="00C05969"/>
    <w:rsid w:val="00C05B03"/>
    <w:rsid w:val="00C05E72"/>
    <w:rsid w:val="00C065BC"/>
    <w:rsid w:val="00C075F2"/>
    <w:rsid w:val="00C0763E"/>
    <w:rsid w:val="00C076DD"/>
    <w:rsid w:val="00C077CC"/>
    <w:rsid w:val="00C11CAC"/>
    <w:rsid w:val="00C130B9"/>
    <w:rsid w:val="00C13A71"/>
    <w:rsid w:val="00C13D78"/>
    <w:rsid w:val="00C1428F"/>
    <w:rsid w:val="00C14585"/>
    <w:rsid w:val="00C164F1"/>
    <w:rsid w:val="00C16BA2"/>
    <w:rsid w:val="00C17497"/>
    <w:rsid w:val="00C174A1"/>
    <w:rsid w:val="00C2040B"/>
    <w:rsid w:val="00C2120A"/>
    <w:rsid w:val="00C21FFB"/>
    <w:rsid w:val="00C22464"/>
    <w:rsid w:val="00C22630"/>
    <w:rsid w:val="00C23F2D"/>
    <w:rsid w:val="00C2413C"/>
    <w:rsid w:val="00C24149"/>
    <w:rsid w:val="00C242E2"/>
    <w:rsid w:val="00C2439E"/>
    <w:rsid w:val="00C247CF"/>
    <w:rsid w:val="00C24E44"/>
    <w:rsid w:val="00C2596B"/>
    <w:rsid w:val="00C26C76"/>
    <w:rsid w:val="00C27601"/>
    <w:rsid w:val="00C310D8"/>
    <w:rsid w:val="00C31433"/>
    <w:rsid w:val="00C314D1"/>
    <w:rsid w:val="00C31B2D"/>
    <w:rsid w:val="00C31FBE"/>
    <w:rsid w:val="00C3246F"/>
    <w:rsid w:val="00C32871"/>
    <w:rsid w:val="00C32A71"/>
    <w:rsid w:val="00C32CBE"/>
    <w:rsid w:val="00C33653"/>
    <w:rsid w:val="00C33D9B"/>
    <w:rsid w:val="00C34FAA"/>
    <w:rsid w:val="00C3772B"/>
    <w:rsid w:val="00C37CDE"/>
    <w:rsid w:val="00C404BA"/>
    <w:rsid w:val="00C40887"/>
    <w:rsid w:val="00C41257"/>
    <w:rsid w:val="00C41674"/>
    <w:rsid w:val="00C41889"/>
    <w:rsid w:val="00C41FB0"/>
    <w:rsid w:val="00C42102"/>
    <w:rsid w:val="00C4249E"/>
    <w:rsid w:val="00C42834"/>
    <w:rsid w:val="00C43589"/>
    <w:rsid w:val="00C43CED"/>
    <w:rsid w:val="00C43E6D"/>
    <w:rsid w:val="00C44530"/>
    <w:rsid w:val="00C451C8"/>
    <w:rsid w:val="00C46C32"/>
    <w:rsid w:val="00C47611"/>
    <w:rsid w:val="00C47FBB"/>
    <w:rsid w:val="00C50B29"/>
    <w:rsid w:val="00C50E57"/>
    <w:rsid w:val="00C5135C"/>
    <w:rsid w:val="00C51EF8"/>
    <w:rsid w:val="00C521DB"/>
    <w:rsid w:val="00C5258E"/>
    <w:rsid w:val="00C53DD8"/>
    <w:rsid w:val="00C55038"/>
    <w:rsid w:val="00C55CDE"/>
    <w:rsid w:val="00C566A1"/>
    <w:rsid w:val="00C56F80"/>
    <w:rsid w:val="00C57327"/>
    <w:rsid w:val="00C57482"/>
    <w:rsid w:val="00C57749"/>
    <w:rsid w:val="00C577AC"/>
    <w:rsid w:val="00C6017A"/>
    <w:rsid w:val="00C60295"/>
    <w:rsid w:val="00C606AB"/>
    <w:rsid w:val="00C607D3"/>
    <w:rsid w:val="00C6089D"/>
    <w:rsid w:val="00C6123C"/>
    <w:rsid w:val="00C6255A"/>
    <w:rsid w:val="00C62D26"/>
    <w:rsid w:val="00C647CB"/>
    <w:rsid w:val="00C64DBF"/>
    <w:rsid w:val="00C64E4E"/>
    <w:rsid w:val="00C65C59"/>
    <w:rsid w:val="00C66836"/>
    <w:rsid w:val="00C7028C"/>
    <w:rsid w:val="00C70B51"/>
    <w:rsid w:val="00C72315"/>
    <w:rsid w:val="00C72A06"/>
    <w:rsid w:val="00C737DE"/>
    <w:rsid w:val="00C74E40"/>
    <w:rsid w:val="00C7563D"/>
    <w:rsid w:val="00C76137"/>
    <w:rsid w:val="00C76637"/>
    <w:rsid w:val="00C777E1"/>
    <w:rsid w:val="00C778FC"/>
    <w:rsid w:val="00C77A8E"/>
    <w:rsid w:val="00C77C56"/>
    <w:rsid w:val="00C80CD5"/>
    <w:rsid w:val="00C8176C"/>
    <w:rsid w:val="00C82188"/>
    <w:rsid w:val="00C827E0"/>
    <w:rsid w:val="00C83CE7"/>
    <w:rsid w:val="00C84236"/>
    <w:rsid w:val="00C84470"/>
    <w:rsid w:val="00C84518"/>
    <w:rsid w:val="00C8486D"/>
    <w:rsid w:val="00C84AFA"/>
    <w:rsid w:val="00C864A0"/>
    <w:rsid w:val="00C877C8"/>
    <w:rsid w:val="00C90FF2"/>
    <w:rsid w:val="00C922E6"/>
    <w:rsid w:val="00C93C85"/>
    <w:rsid w:val="00C94189"/>
    <w:rsid w:val="00C94615"/>
    <w:rsid w:val="00C948DE"/>
    <w:rsid w:val="00C95CF5"/>
    <w:rsid w:val="00C969F9"/>
    <w:rsid w:val="00C96E08"/>
    <w:rsid w:val="00C97512"/>
    <w:rsid w:val="00CA104D"/>
    <w:rsid w:val="00CA11C5"/>
    <w:rsid w:val="00CA11F9"/>
    <w:rsid w:val="00CA2754"/>
    <w:rsid w:val="00CA2D9D"/>
    <w:rsid w:val="00CA4D78"/>
    <w:rsid w:val="00CA5389"/>
    <w:rsid w:val="00CA605E"/>
    <w:rsid w:val="00CA6574"/>
    <w:rsid w:val="00CA7BC9"/>
    <w:rsid w:val="00CB0577"/>
    <w:rsid w:val="00CB0733"/>
    <w:rsid w:val="00CB0A40"/>
    <w:rsid w:val="00CB0EF2"/>
    <w:rsid w:val="00CB1789"/>
    <w:rsid w:val="00CB2DB2"/>
    <w:rsid w:val="00CB318A"/>
    <w:rsid w:val="00CB6940"/>
    <w:rsid w:val="00CB777B"/>
    <w:rsid w:val="00CC0571"/>
    <w:rsid w:val="00CC209B"/>
    <w:rsid w:val="00CC420B"/>
    <w:rsid w:val="00CC4296"/>
    <w:rsid w:val="00CC4A13"/>
    <w:rsid w:val="00CC4C27"/>
    <w:rsid w:val="00CC5DD4"/>
    <w:rsid w:val="00CC6921"/>
    <w:rsid w:val="00CC73E7"/>
    <w:rsid w:val="00CC7EA5"/>
    <w:rsid w:val="00CD493C"/>
    <w:rsid w:val="00CD4B0C"/>
    <w:rsid w:val="00CD4FEC"/>
    <w:rsid w:val="00CD58E4"/>
    <w:rsid w:val="00CD605B"/>
    <w:rsid w:val="00CD7547"/>
    <w:rsid w:val="00CD7D8A"/>
    <w:rsid w:val="00CD7D95"/>
    <w:rsid w:val="00CE0061"/>
    <w:rsid w:val="00CE0865"/>
    <w:rsid w:val="00CE0D91"/>
    <w:rsid w:val="00CE12E7"/>
    <w:rsid w:val="00CE46F6"/>
    <w:rsid w:val="00CE4F7D"/>
    <w:rsid w:val="00CE5484"/>
    <w:rsid w:val="00CE5E2D"/>
    <w:rsid w:val="00CE78E9"/>
    <w:rsid w:val="00CE7FDE"/>
    <w:rsid w:val="00CF04FA"/>
    <w:rsid w:val="00CF2EDA"/>
    <w:rsid w:val="00CF3CC7"/>
    <w:rsid w:val="00CF4D9F"/>
    <w:rsid w:val="00CF541E"/>
    <w:rsid w:val="00D00889"/>
    <w:rsid w:val="00D021F0"/>
    <w:rsid w:val="00D0267C"/>
    <w:rsid w:val="00D02C0D"/>
    <w:rsid w:val="00D03055"/>
    <w:rsid w:val="00D036C9"/>
    <w:rsid w:val="00D04E17"/>
    <w:rsid w:val="00D054E7"/>
    <w:rsid w:val="00D058AD"/>
    <w:rsid w:val="00D10DB5"/>
    <w:rsid w:val="00D11A78"/>
    <w:rsid w:val="00D11B3A"/>
    <w:rsid w:val="00D12669"/>
    <w:rsid w:val="00D14092"/>
    <w:rsid w:val="00D144A6"/>
    <w:rsid w:val="00D14987"/>
    <w:rsid w:val="00D15217"/>
    <w:rsid w:val="00D156CC"/>
    <w:rsid w:val="00D15979"/>
    <w:rsid w:val="00D164C4"/>
    <w:rsid w:val="00D1652D"/>
    <w:rsid w:val="00D168DE"/>
    <w:rsid w:val="00D177BF"/>
    <w:rsid w:val="00D17A76"/>
    <w:rsid w:val="00D201BB"/>
    <w:rsid w:val="00D202AF"/>
    <w:rsid w:val="00D2148A"/>
    <w:rsid w:val="00D22D77"/>
    <w:rsid w:val="00D2439C"/>
    <w:rsid w:val="00D24EF7"/>
    <w:rsid w:val="00D26CA2"/>
    <w:rsid w:val="00D27F14"/>
    <w:rsid w:val="00D300CA"/>
    <w:rsid w:val="00D30AB3"/>
    <w:rsid w:val="00D31F9C"/>
    <w:rsid w:val="00D32164"/>
    <w:rsid w:val="00D328F3"/>
    <w:rsid w:val="00D32CFA"/>
    <w:rsid w:val="00D339C4"/>
    <w:rsid w:val="00D33DEF"/>
    <w:rsid w:val="00D34CC9"/>
    <w:rsid w:val="00D3521B"/>
    <w:rsid w:val="00D36336"/>
    <w:rsid w:val="00D405FC"/>
    <w:rsid w:val="00D4085C"/>
    <w:rsid w:val="00D40B92"/>
    <w:rsid w:val="00D40D0F"/>
    <w:rsid w:val="00D41557"/>
    <w:rsid w:val="00D418AE"/>
    <w:rsid w:val="00D4453C"/>
    <w:rsid w:val="00D44762"/>
    <w:rsid w:val="00D45209"/>
    <w:rsid w:val="00D459B2"/>
    <w:rsid w:val="00D46A57"/>
    <w:rsid w:val="00D50A33"/>
    <w:rsid w:val="00D51ABC"/>
    <w:rsid w:val="00D51EE0"/>
    <w:rsid w:val="00D52FA4"/>
    <w:rsid w:val="00D532A0"/>
    <w:rsid w:val="00D537A6"/>
    <w:rsid w:val="00D53905"/>
    <w:rsid w:val="00D54072"/>
    <w:rsid w:val="00D54C29"/>
    <w:rsid w:val="00D54D37"/>
    <w:rsid w:val="00D56562"/>
    <w:rsid w:val="00D56687"/>
    <w:rsid w:val="00D57B6E"/>
    <w:rsid w:val="00D61469"/>
    <w:rsid w:val="00D615C0"/>
    <w:rsid w:val="00D62282"/>
    <w:rsid w:val="00D62403"/>
    <w:rsid w:val="00D625FC"/>
    <w:rsid w:val="00D63569"/>
    <w:rsid w:val="00D63D81"/>
    <w:rsid w:val="00D64DFB"/>
    <w:rsid w:val="00D654A8"/>
    <w:rsid w:val="00D65BA8"/>
    <w:rsid w:val="00D66FA4"/>
    <w:rsid w:val="00D67209"/>
    <w:rsid w:val="00D70B88"/>
    <w:rsid w:val="00D71B10"/>
    <w:rsid w:val="00D71C84"/>
    <w:rsid w:val="00D71E3F"/>
    <w:rsid w:val="00D72816"/>
    <w:rsid w:val="00D73D40"/>
    <w:rsid w:val="00D77782"/>
    <w:rsid w:val="00D77992"/>
    <w:rsid w:val="00D81CD0"/>
    <w:rsid w:val="00D8207F"/>
    <w:rsid w:val="00D823E4"/>
    <w:rsid w:val="00D85AF5"/>
    <w:rsid w:val="00D85D85"/>
    <w:rsid w:val="00D86FCE"/>
    <w:rsid w:val="00D9012D"/>
    <w:rsid w:val="00D9069C"/>
    <w:rsid w:val="00D9164B"/>
    <w:rsid w:val="00D91BF3"/>
    <w:rsid w:val="00D92614"/>
    <w:rsid w:val="00D9277C"/>
    <w:rsid w:val="00D92963"/>
    <w:rsid w:val="00D92A00"/>
    <w:rsid w:val="00D933DC"/>
    <w:rsid w:val="00D93E09"/>
    <w:rsid w:val="00D945E8"/>
    <w:rsid w:val="00D9468C"/>
    <w:rsid w:val="00D95160"/>
    <w:rsid w:val="00D952E4"/>
    <w:rsid w:val="00D96E10"/>
    <w:rsid w:val="00D97333"/>
    <w:rsid w:val="00D97ECD"/>
    <w:rsid w:val="00DA0610"/>
    <w:rsid w:val="00DA0C17"/>
    <w:rsid w:val="00DA0EDA"/>
    <w:rsid w:val="00DA1E3F"/>
    <w:rsid w:val="00DA21E6"/>
    <w:rsid w:val="00DA2647"/>
    <w:rsid w:val="00DA31B7"/>
    <w:rsid w:val="00DA33F9"/>
    <w:rsid w:val="00DA44BF"/>
    <w:rsid w:val="00DA4B06"/>
    <w:rsid w:val="00DA4B80"/>
    <w:rsid w:val="00DA5363"/>
    <w:rsid w:val="00DA574C"/>
    <w:rsid w:val="00DA5DBB"/>
    <w:rsid w:val="00DA6C04"/>
    <w:rsid w:val="00DA7E52"/>
    <w:rsid w:val="00DB043D"/>
    <w:rsid w:val="00DB1137"/>
    <w:rsid w:val="00DB217D"/>
    <w:rsid w:val="00DB2FCA"/>
    <w:rsid w:val="00DB3851"/>
    <w:rsid w:val="00DB3A13"/>
    <w:rsid w:val="00DB4DAD"/>
    <w:rsid w:val="00DB4E9D"/>
    <w:rsid w:val="00DB5D03"/>
    <w:rsid w:val="00DB6102"/>
    <w:rsid w:val="00DB69CC"/>
    <w:rsid w:val="00DB7179"/>
    <w:rsid w:val="00DB77C4"/>
    <w:rsid w:val="00DB7A69"/>
    <w:rsid w:val="00DB7D89"/>
    <w:rsid w:val="00DC02E8"/>
    <w:rsid w:val="00DC0E3E"/>
    <w:rsid w:val="00DC2417"/>
    <w:rsid w:val="00DC26ED"/>
    <w:rsid w:val="00DC3D7B"/>
    <w:rsid w:val="00DC43B5"/>
    <w:rsid w:val="00DC49C0"/>
    <w:rsid w:val="00DC5844"/>
    <w:rsid w:val="00DC5ABD"/>
    <w:rsid w:val="00DC5D54"/>
    <w:rsid w:val="00DC5E43"/>
    <w:rsid w:val="00DC5E93"/>
    <w:rsid w:val="00DC7EEA"/>
    <w:rsid w:val="00DD12A5"/>
    <w:rsid w:val="00DD163E"/>
    <w:rsid w:val="00DD1706"/>
    <w:rsid w:val="00DD202D"/>
    <w:rsid w:val="00DD3056"/>
    <w:rsid w:val="00DD30BB"/>
    <w:rsid w:val="00DD3A0B"/>
    <w:rsid w:val="00DD3E75"/>
    <w:rsid w:val="00DD43A5"/>
    <w:rsid w:val="00DD43AF"/>
    <w:rsid w:val="00DD43DC"/>
    <w:rsid w:val="00DD52BE"/>
    <w:rsid w:val="00DD5439"/>
    <w:rsid w:val="00DD5540"/>
    <w:rsid w:val="00DD55BB"/>
    <w:rsid w:val="00DD64B1"/>
    <w:rsid w:val="00DD7BD6"/>
    <w:rsid w:val="00DE0AC1"/>
    <w:rsid w:val="00DE0BA1"/>
    <w:rsid w:val="00DE24C4"/>
    <w:rsid w:val="00DE2BD8"/>
    <w:rsid w:val="00DE3066"/>
    <w:rsid w:val="00DE381A"/>
    <w:rsid w:val="00DE3A81"/>
    <w:rsid w:val="00DE4193"/>
    <w:rsid w:val="00DE4DB9"/>
    <w:rsid w:val="00DE5892"/>
    <w:rsid w:val="00DE591C"/>
    <w:rsid w:val="00DE5DA3"/>
    <w:rsid w:val="00DE6792"/>
    <w:rsid w:val="00DE6962"/>
    <w:rsid w:val="00DE7BD0"/>
    <w:rsid w:val="00DF0870"/>
    <w:rsid w:val="00DF0C6C"/>
    <w:rsid w:val="00DF1570"/>
    <w:rsid w:val="00DF16E7"/>
    <w:rsid w:val="00DF2AE9"/>
    <w:rsid w:val="00DF3C17"/>
    <w:rsid w:val="00DF435D"/>
    <w:rsid w:val="00DF49F6"/>
    <w:rsid w:val="00DF5B78"/>
    <w:rsid w:val="00DF5FEC"/>
    <w:rsid w:val="00DF6EFE"/>
    <w:rsid w:val="00DF70C2"/>
    <w:rsid w:val="00DF773D"/>
    <w:rsid w:val="00DF7A38"/>
    <w:rsid w:val="00DF7C1C"/>
    <w:rsid w:val="00E0071F"/>
    <w:rsid w:val="00E00796"/>
    <w:rsid w:val="00E009CD"/>
    <w:rsid w:val="00E00A55"/>
    <w:rsid w:val="00E014CD"/>
    <w:rsid w:val="00E01799"/>
    <w:rsid w:val="00E0179D"/>
    <w:rsid w:val="00E025C9"/>
    <w:rsid w:val="00E03982"/>
    <w:rsid w:val="00E06128"/>
    <w:rsid w:val="00E0687A"/>
    <w:rsid w:val="00E07BF1"/>
    <w:rsid w:val="00E07E5E"/>
    <w:rsid w:val="00E1196E"/>
    <w:rsid w:val="00E11E08"/>
    <w:rsid w:val="00E12937"/>
    <w:rsid w:val="00E13EE1"/>
    <w:rsid w:val="00E151C4"/>
    <w:rsid w:val="00E1549F"/>
    <w:rsid w:val="00E155B2"/>
    <w:rsid w:val="00E155F1"/>
    <w:rsid w:val="00E1610C"/>
    <w:rsid w:val="00E16757"/>
    <w:rsid w:val="00E177E6"/>
    <w:rsid w:val="00E17EB7"/>
    <w:rsid w:val="00E20538"/>
    <w:rsid w:val="00E212C2"/>
    <w:rsid w:val="00E2167F"/>
    <w:rsid w:val="00E222AC"/>
    <w:rsid w:val="00E22326"/>
    <w:rsid w:val="00E22FF6"/>
    <w:rsid w:val="00E243BF"/>
    <w:rsid w:val="00E24BE5"/>
    <w:rsid w:val="00E25A1D"/>
    <w:rsid w:val="00E27089"/>
    <w:rsid w:val="00E303FC"/>
    <w:rsid w:val="00E31FD0"/>
    <w:rsid w:val="00E323AB"/>
    <w:rsid w:val="00E32445"/>
    <w:rsid w:val="00E32535"/>
    <w:rsid w:val="00E327B7"/>
    <w:rsid w:val="00E330A6"/>
    <w:rsid w:val="00E33543"/>
    <w:rsid w:val="00E3356F"/>
    <w:rsid w:val="00E34253"/>
    <w:rsid w:val="00E35113"/>
    <w:rsid w:val="00E36515"/>
    <w:rsid w:val="00E371AE"/>
    <w:rsid w:val="00E37D60"/>
    <w:rsid w:val="00E37DEB"/>
    <w:rsid w:val="00E413C2"/>
    <w:rsid w:val="00E41A5E"/>
    <w:rsid w:val="00E43AD7"/>
    <w:rsid w:val="00E4443A"/>
    <w:rsid w:val="00E44777"/>
    <w:rsid w:val="00E44E51"/>
    <w:rsid w:val="00E45F19"/>
    <w:rsid w:val="00E46BD2"/>
    <w:rsid w:val="00E46BF9"/>
    <w:rsid w:val="00E50306"/>
    <w:rsid w:val="00E5202E"/>
    <w:rsid w:val="00E5483E"/>
    <w:rsid w:val="00E553C7"/>
    <w:rsid w:val="00E56028"/>
    <w:rsid w:val="00E5701D"/>
    <w:rsid w:val="00E57540"/>
    <w:rsid w:val="00E577B9"/>
    <w:rsid w:val="00E57991"/>
    <w:rsid w:val="00E579E7"/>
    <w:rsid w:val="00E610ED"/>
    <w:rsid w:val="00E6143B"/>
    <w:rsid w:val="00E61950"/>
    <w:rsid w:val="00E650CE"/>
    <w:rsid w:val="00E669C6"/>
    <w:rsid w:val="00E70BB4"/>
    <w:rsid w:val="00E7134F"/>
    <w:rsid w:val="00E71923"/>
    <w:rsid w:val="00E72411"/>
    <w:rsid w:val="00E729BC"/>
    <w:rsid w:val="00E74A7B"/>
    <w:rsid w:val="00E754C3"/>
    <w:rsid w:val="00E757DA"/>
    <w:rsid w:val="00E76157"/>
    <w:rsid w:val="00E77BDF"/>
    <w:rsid w:val="00E77BF9"/>
    <w:rsid w:val="00E77EC9"/>
    <w:rsid w:val="00E80604"/>
    <w:rsid w:val="00E813AC"/>
    <w:rsid w:val="00E8232F"/>
    <w:rsid w:val="00E83596"/>
    <w:rsid w:val="00E83885"/>
    <w:rsid w:val="00E85367"/>
    <w:rsid w:val="00E85935"/>
    <w:rsid w:val="00E85B7A"/>
    <w:rsid w:val="00E85F7D"/>
    <w:rsid w:val="00E86310"/>
    <w:rsid w:val="00E869FD"/>
    <w:rsid w:val="00E877E4"/>
    <w:rsid w:val="00E91122"/>
    <w:rsid w:val="00E913EA"/>
    <w:rsid w:val="00E92300"/>
    <w:rsid w:val="00E93237"/>
    <w:rsid w:val="00E9445E"/>
    <w:rsid w:val="00E954CB"/>
    <w:rsid w:val="00E95677"/>
    <w:rsid w:val="00E96724"/>
    <w:rsid w:val="00E96BE3"/>
    <w:rsid w:val="00E970EB"/>
    <w:rsid w:val="00E97338"/>
    <w:rsid w:val="00EA0436"/>
    <w:rsid w:val="00EA222B"/>
    <w:rsid w:val="00EA28C0"/>
    <w:rsid w:val="00EA3199"/>
    <w:rsid w:val="00EA3691"/>
    <w:rsid w:val="00EA3B5F"/>
    <w:rsid w:val="00EA3C7B"/>
    <w:rsid w:val="00EA499D"/>
    <w:rsid w:val="00EA5E19"/>
    <w:rsid w:val="00EA5FB1"/>
    <w:rsid w:val="00EA717D"/>
    <w:rsid w:val="00EA7631"/>
    <w:rsid w:val="00EB1631"/>
    <w:rsid w:val="00EB1D68"/>
    <w:rsid w:val="00EB2807"/>
    <w:rsid w:val="00EB34D2"/>
    <w:rsid w:val="00EB3A03"/>
    <w:rsid w:val="00EB3C3F"/>
    <w:rsid w:val="00EB3F22"/>
    <w:rsid w:val="00EB455E"/>
    <w:rsid w:val="00EB50AD"/>
    <w:rsid w:val="00EB5A2D"/>
    <w:rsid w:val="00EB78B3"/>
    <w:rsid w:val="00EC08C5"/>
    <w:rsid w:val="00EC0D42"/>
    <w:rsid w:val="00EC1F41"/>
    <w:rsid w:val="00EC2ED2"/>
    <w:rsid w:val="00EC34C3"/>
    <w:rsid w:val="00EC4BCC"/>
    <w:rsid w:val="00EC5025"/>
    <w:rsid w:val="00EC5DE9"/>
    <w:rsid w:val="00EC69ED"/>
    <w:rsid w:val="00EC6B17"/>
    <w:rsid w:val="00EC6E0A"/>
    <w:rsid w:val="00EC6FE9"/>
    <w:rsid w:val="00EC739E"/>
    <w:rsid w:val="00EC7BBD"/>
    <w:rsid w:val="00ED37F7"/>
    <w:rsid w:val="00ED3EDC"/>
    <w:rsid w:val="00ED3FB1"/>
    <w:rsid w:val="00ED49E9"/>
    <w:rsid w:val="00ED4C83"/>
    <w:rsid w:val="00ED5FC5"/>
    <w:rsid w:val="00ED6160"/>
    <w:rsid w:val="00ED6CC4"/>
    <w:rsid w:val="00ED7A83"/>
    <w:rsid w:val="00ED7BD7"/>
    <w:rsid w:val="00EE0924"/>
    <w:rsid w:val="00EE1148"/>
    <w:rsid w:val="00EE388D"/>
    <w:rsid w:val="00EE3DCE"/>
    <w:rsid w:val="00EE4591"/>
    <w:rsid w:val="00EE47EE"/>
    <w:rsid w:val="00EE4AD3"/>
    <w:rsid w:val="00EE4B1D"/>
    <w:rsid w:val="00EE53C1"/>
    <w:rsid w:val="00EE546A"/>
    <w:rsid w:val="00EE6E08"/>
    <w:rsid w:val="00EE7733"/>
    <w:rsid w:val="00EE7B7A"/>
    <w:rsid w:val="00EF1A42"/>
    <w:rsid w:val="00EF27A1"/>
    <w:rsid w:val="00EF2D90"/>
    <w:rsid w:val="00EF3D3F"/>
    <w:rsid w:val="00EF3E03"/>
    <w:rsid w:val="00EF41BE"/>
    <w:rsid w:val="00EF48D9"/>
    <w:rsid w:val="00EF4C2E"/>
    <w:rsid w:val="00EF5097"/>
    <w:rsid w:val="00EF5AEA"/>
    <w:rsid w:val="00EF7F42"/>
    <w:rsid w:val="00F00EDC"/>
    <w:rsid w:val="00F017FB"/>
    <w:rsid w:val="00F01CA8"/>
    <w:rsid w:val="00F02D6F"/>
    <w:rsid w:val="00F03B4C"/>
    <w:rsid w:val="00F044BB"/>
    <w:rsid w:val="00F05B9F"/>
    <w:rsid w:val="00F069C9"/>
    <w:rsid w:val="00F07D98"/>
    <w:rsid w:val="00F104D9"/>
    <w:rsid w:val="00F1060C"/>
    <w:rsid w:val="00F10DC0"/>
    <w:rsid w:val="00F10F09"/>
    <w:rsid w:val="00F11AE8"/>
    <w:rsid w:val="00F14DC6"/>
    <w:rsid w:val="00F15F7A"/>
    <w:rsid w:val="00F161D5"/>
    <w:rsid w:val="00F20080"/>
    <w:rsid w:val="00F2020F"/>
    <w:rsid w:val="00F2046D"/>
    <w:rsid w:val="00F20928"/>
    <w:rsid w:val="00F20F30"/>
    <w:rsid w:val="00F21A1D"/>
    <w:rsid w:val="00F23B50"/>
    <w:rsid w:val="00F242CC"/>
    <w:rsid w:val="00F24CF3"/>
    <w:rsid w:val="00F251BE"/>
    <w:rsid w:val="00F2586D"/>
    <w:rsid w:val="00F25D6C"/>
    <w:rsid w:val="00F26610"/>
    <w:rsid w:val="00F30E2F"/>
    <w:rsid w:val="00F31194"/>
    <w:rsid w:val="00F3165A"/>
    <w:rsid w:val="00F31A0B"/>
    <w:rsid w:val="00F323DC"/>
    <w:rsid w:val="00F33618"/>
    <w:rsid w:val="00F34638"/>
    <w:rsid w:val="00F34842"/>
    <w:rsid w:val="00F3602D"/>
    <w:rsid w:val="00F36988"/>
    <w:rsid w:val="00F36C67"/>
    <w:rsid w:val="00F372FB"/>
    <w:rsid w:val="00F404DE"/>
    <w:rsid w:val="00F41EA1"/>
    <w:rsid w:val="00F45FD8"/>
    <w:rsid w:val="00F46678"/>
    <w:rsid w:val="00F46BB5"/>
    <w:rsid w:val="00F47558"/>
    <w:rsid w:val="00F51BC0"/>
    <w:rsid w:val="00F52085"/>
    <w:rsid w:val="00F52331"/>
    <w:rsid w:val="00F52380"/>
    <w:rsid w:val="00F52593"/>
    <w:rsid w:val="00F52D96"/>
    <w:rsid w:val="00F53371"/>
    <w:rsid w:val="00F5342D"/>
    <w:rsid w:val="00F54A67"/>
    <w:rsid w:val="00F572CF"/>
    <w:rsid w:val="00F6001A"/>
    <w:rsid w:val="00F608D6"/>
    <w:rsid w:val="00F60A7C"/>
    <w:rsid w:val="00F60EEC"/>
    <w:rsid w:val="00F6116C"/>
    <w:rsid w:val="00F61856"/>
    <w:rsid w:val="00F61A13"/>
    <w:rsid w:val="00F622CD"/>
    <w:rsid w:val="00F622ED"/>
    <w:rsid w:val="00F62A23"/>
    <w:rsid w:val="00F632B0"/>
    <w:rsid w:val="00F63440"/>
    <w:rsid w:val="00F63BBD"/>
    <w:rsid w:val="00F63DF5"/>
    <w:rsid w:val="00F6428A"/>
    <w:rsid w:val="00F644AF"/>
    <w:rsid w:val="00F64664"/>
    <w:rsid w:val="00F64B84"/>
    <w:rsid w:val="00F652C2"/>
    <w:rsid w:val="00F66192"/>
    <w:rsid w:val="00F669DD"/>
    <w:rsid w:val="00F66B92"/>
    <w:rsid w:val="00F67028"/>
    <w:rsid w:val="00F67766"/>
    <w:rsid w:val="00F7016A"/>
    <w:rsid w:val="00F703EA"/>
    <w:rsid w:val="00F7053A"/>
    <w:rsid w:val="00F705DA"/>
    <w:rsid w:val="00F70E29"/>
    <w:rsid w:val="00F70E73"/>
    <w:rsid w:val="00F71B08"/>
    <w:rsid w:val="00F7221A"/>
    <w:rsid w:val="00F730CE"/>
    <w:rsid w:val="00F745FB"/>
    <w:rsid w:val="00F74D7F"/>
    <w:rsid w:val="00F74E91"/>
    <w:rsid w:val="00F75877"/>
    <w:rsid w:val="00F76291"/>
    <w:rsid w:val="00F76C1D"/>
    <w:rsid w:val="00F76C48"/>
    <w:rsid w:val="00F7782C"/>
    <w:rsid w:val="00F77995"/>
    <w:rsid w:val="00F808A1"/>
    <w:rsid w:val="00F81786"/>
    <w:rsid w:val="00F8184B"/>
    <w:rsid w:val="00F81F78"/>
    <w:rsid w:val="00F8378A"/>
    <w:rsid w:val="00F83947"/>
    <w:rsid w:val="00F83D34"/>
    <w:rsid w:val="00F85387"/>
    <w:rsid w:val="00F85C13"/>
    <w:rsid w:val="00F85E0D"/>
    <w:rsid w:val="00F87557"/>
    <w:rsid w:val="00F87F43"/>
    <w:rsid w:val="00F9250D"/>
    <w:rsid w:val="00F93489"/>
    <w:rsid w:val="00F938A5"/>
    <w:rsid w:val="00F93C80"/>
    <w:rsid w:val="00F9511F"/>
    <w:rsid w:val="00F95BFE"/>
    <w:rsid w:val="00F96D2E"/>
    <w:rsid w:val="00F96EE0"/>
    <w:rsid w:val="00FA05CD"/>
    <w:rsid w:val="00FA16C7"/>
    <w:rsid w:val="00FA1C6A"/>
    <w:rsid w:val="00FA1CB0"/>
    <w:rsid w:val="00FA32D3"/>
    <w:rsid w:val="00FA3804"/>
    <w:rsid w:val="00FA3909"/>
    <w:rsid w:val="00FA63F0"/>
    <w:rsid w:val="00FA6944"/>
    <w:rsid w:val="00FA7A63"/>
    <w:rsid w:val="00FB0C1E"/>
    <w:rsid w:val="00FB0FB8"/>
    <w:rsid w:val="00FB1119"/>
    <w:rsid w:val="00FB19A2"/>
    <w:rsid w:val="00FB2E00"/>
    <w:rsid w:val="00FB39D9"/>
    <w:rsid w:val="00FB40D4"/>
    <w:rsid w:val="00FB48EF"/>
    <w:rsid w:val="00FB4D85"/>
    <w:rsid w:val="00FB4E13"/>
    <w:rsid w:val="00FB4E85"/>
    <w:rsid w:val="00FB6161"/>
    <w:rsid w:val="00FB6747"/>
    <w:rsid w:val="00FB6AF6"/>
    <w:rsid w:val="00FB72BD"/>
    <w:rsid w:val="00FC0050"/>
    <w:rsid w:val="00FC1CE9"/>
    <w:rsid w:val="00FC2236"/>
    <w:rsid w:val="00FC225E"/>
    <w:rsid w:val="00FC3914"/>
    <w:rsid w:val="00FC410F"/>
    <w:rsid w:val="00FC42D6"/>
    <w:rsid w:val="00FC4680"/>
    <w:rsid w:val="00FC4ACB"/>
    <w:rsid w:val="00FC4C01"/>
    <w:rsid w:val="00FC506A"/>
    <w:rsid w:val="00FC532E"/>
    <w:rsid w:val="00FC5E67"/>
    <w:rsid w:val="00FC723E"/>
    <w:rsid w:val="00FC728C"/>
    <w:rsid w:val="00FC76FB"/>
    <w:rsid w:val="00FD00E6"/>
    <w:rsid w:val="00FD012C"/>
    <w:rsid w:val="00FD0606"/>
    <w:rsid w:val="00FD1061"/>
    <w:rsid w:val="00FD14CC"/>
    <w:rsid w:val="00FD16D3"/>
    <w:rsid w:val="00FD1D99"/>
    <w:rsid w:val="00FD1FFA"/>
    <w:rsid w:val="00FD30C2"/>
    <w:rsid w:val="00FD524A"/>
    <w:rsid w:val="00FD54EB"/>
    <w:rsid w:val="00FD5C3D"/>
    <w:rsid w:val="00FD5D53"/>
    <w:rsid w:val="00FD6067"/>
    <w:rsid w:val="00FD64DA"/>
    <w:rsid w:val="00FD6E1F"/>
    <w:rsid w:val="00FE025A"/>
    <w:rsid w:val="00FE08AE"/>
    <w:rsid w:val="00FE0B9B"/>
    <w:rsid w:val="00FE1012"/>
    <w:rsid w:val="00FE12E4"/>
    <w:rsid w:val="00FE1A76"/>
    <w:rsid w:val="00FE1EA5"/>
    <w:rsid w:val="00FE3F72"/>
    <w:rsid w:val="00FE4FEB"/>
    <w:rsid w:val="00FE5CDE"/>
    <w:rsid w:val="00FE5D54"/>
    <w:rsid w:val="00FE628D"/>
    <w:rsid w:val="00FE7909"/>
    <w:rsid w:val="00FE7B3C"/>
    <w:rsid w:val="00FE7CCB"/>
    <w:rsid w:val="00FF1476"/>
    <w:rsid w:val="00FF268C"/>
    <w:rsid w:val="00FF3148"/>
    <w:rsid w:val="00FF3C46"/>
    <w:rsid w:val="00FF5F20"/>
    <w:rsid w:val="00FF61A0"/>
    <w:rsid w:val="00FF640C"/>
    <w:rsid w:val="00FF66E2"/>
    <w:rsid w:val="00FF6DAF"/>
    <w:rsid w:val="00FF7056"/>
    <w:rsid w:val="00FF71A6"/>
    <w:rsid w:val="00FF7F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style="mso-position-vertical-relative:line" fill="f" fillcolor="white" stroke="f">
      <v:fill color="white" on="f"/>
      <v:stroke on="f"/>
    </o:shapedefaults>
    <o:shapelayout v:ext="edit">
      <o:idmap v:ext="edit" data="1"/>
    </o:shapelayout>
  </w:shapeDefaults>
  <w:decimalSymbol w:val="."/>
  <w:listSeparator w:val=","/>
  <w14:docId w14:val="5EFE5A73"/>
  <w15:chartTrackingRefBased/>
  <w15:docId w15:val="{64729DD9-44BC-47AF-BB17-E67C11BB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iPriority="35"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ind w:left="1440" w:firstLine="720"/>
      <w:jc w:val="both"/>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caps/>
      <w:sz w:val="22"/>
      <w:szCs w:val="22"/>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jc w:val="center"/>
      <w:outlineLvl w:val="4"/>
    </w:pPr>
    <w:rPr>
      <w:rFonts w:ascii="Comic Sans MS" w:hAnsi="Comic Sans MS"/>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Footer">
    <w:name w:val="footer"/>
    <w:basedOn w:val="Normal"/>
    <w:link w:val="FooterChar"/>
    <w:uiPriority w:val="99"/>
    <w:pPr>
      <w:widowControl w:val="0"/>
      <w:tabs>
        <w:tab w:val="center" w:pos="4320"/>
        <w:tab w:val="right" w:pos="8640"/>
      </w:tabs>
    </w:pPr>
    <w:rPr>
      <w:sz w:val="20"/>
      <w:szCs w:val="20"/>
      <w:lang w:val="en-GB"/>
    </w:rPr>
  </w:style>
  <w:style w:type="character" w:styleId="Hyperlink">
    <w:name w:val="Hyperlink"/>
    <w:uiPriority w:val="99"/>
    <w:rPr>
      <w:color w:val="0000FF"/>
      <w:u w:val="single"/>
    </w:rPr>
  </w:style>
  <w:style w:type="paragraph" w:styleId="FootnoteText">
    <w:name w:val="footnote text"/>
    <w:basedOn w:val="Normal"/>
    <w:link w:val="FootnoteTextChar"/>
    <w:uiPriority w:val="99"/>
    <w:semiHidden/>
    <w:rPr>
      <w:sz w:val="20"/>
      <w:szCs w:val="20"/>
    </w:rPr>
  </w:style>
  <w:style w:type="character" w:styleId="FootnoteReference">
    <w:name w:val="footnote reference"/>
    <w:semiHidden/>
    <w:rPr>
      <w:vertAlign w:val="superscript"/>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font5">
    <w:name w:val="font5"/>
    <w:basedOn w:val="Normal"/>
    <w:pPr>
      <w:autoSpaceDE/>
      <w:autoSpaceDN/>
      <w:spacing w:before="100" w:beforeAutospacing="1" w:after="100" w:afterAutospacing="1"/>
    </w:pPr>
    <w:rPr>
      <w:rFonts w:ascii="Tahoma" w:eastAsia="Arial Unicode MS" w:hAnsi="Tahoma"/>
      <w:color w:val="000000"/>
      <w:sz w:val="16"/>
      <w:szCs w:val="16"/>
    </w:rPr>
  </w:style>
  <w:style w:type="paragraph" w:customStyle="1" w:styleId="font6">
    <w:name w:val="font6"/>
    <w:basedOn w:val="Normal"/>
    <w:pPr>
      <w:autoSpaceDE/>
      <w:autoSpaceDN/>
      <w:spacing w:before="100" w:beforeAutospacing="1" w:after="100" w:afterAutospacing="1"/>
    </w:pPr>
    <w:rPr>
      <w:rFonts w:ascii="Tahoma" w:eastAsia="Arial Unicode MS" w:hAnsi="Tahoma"/>
      <w:b/>
      <w:bCs/>
      <w:color w:val="000000"/>
      <w:sz w:val="16"/>
      <w:szCs w:val="16"/>
    </w:rPr>
  </w:style>
  <w:style w:type="paragraph" w:customStyle="1" w:styleId="xl24">
    <w:name w:val="xl24"/>
    <w:basedOn w:val="Normal"/>
    <w:pPr>
      <w:shd w:val="clear" w:color="auto" w:fill="FFFFFF"/>
      <w:autoSpaceDE/>
      <w:autoSpaceDN/>
      <w:spacing w:before="100" w:beforeAutospacing="1" w:after="100" w:afterAutospacing="1"/>
    </w:pPr>
    <w:rPr>
      <w:rFonts w:ascii="Arial" w:eastAsia="Arial Unicode MS" w:hAnsi="Arial"/>
      <w:sz w:val="18"/>
      <w:szCs w:val="18"/>
    </w:rPr>
  </w:style>
  <w:style w:type="paragraph" w:customStyle="1" w:styleId="xl25">
    <w:name w:val="xl25"/>
    <w:basedOn w:val="Normal"/>
    <w:pPr>
      <w:pBdr>
        <w:bottom w:val="single" w:sz="4" w:space="0" w:color="auto"/>
      </w:pBdr>
      <w:shd w:val="clear" w:color="auto" w:fill="FFFFFF"/>
      <w:autoSpaceDE/>
      <w:autoSpaceDN/>
      <w:spacing w:before="100" w:beforeAutospacing="1" w:after="100" w:afterAutospacing="1"/>
    </w:pPr>
    <w:rPr>
      <w:rFonts w:ascii="Arial" w:eastAsia="Arial Unicode MS" w:hAnsi="Arial"/>
      <w:sz w:val="18"/>
      <w:szCs w:val="18"/>
    </w:rPr>
  </w:style>
  <w:style w:type="paragraph" w:customStyle="1" w:styleId="xl26">
    <w:name w:val="xl26"/>
    <w:basedOn w:val="Normal"/>
    <w:pPr>
      <w:shd w:val="clear" w:color="auto" w:fill="FFFFFF"/>
      <w:autoSpaceDE/>
      <w:autoSpaceDN/>
      <w:spacing w:before="100" w:beforeAutospacing="1" w:after="100" w:afterAutospacing="1"/>
    </w:pPr>
    <w:rPr>
      <w:rFonts w:ascii="Arial" w:eastAsia="Arial Unicode MS" w:hAnsi="Arial"/>
      <w:color w:val="0000FF"/>
      <w:sz w:val="16"/>
      <w:szCs w:val="16"/>
    </w:rPr>
  </w:style>
  <w:style w:type="paragraph" w:customStyle="1" w:styleId="xl27">
    <w:name w:val="xl27"/>
    <w:basedOn w:val="Normal"/>
    <w:pPr>
      <w:shd w:val="clear" w:color="auto" w:fill="FFFFFF"/>
      <w:autoSpaceDE/>
      <w:autoSpaceDN/>
      <w:spacing w:before="100" w:beforeAutospacing="1" w:after="100" w:afterAutospacing="1"/>
    </w:pPr>
    <w:rPr>
      <w:rFonts w:ascii="Arial" w:eastAsia="Arial Unicode MS" w:hAnsi="Arial"/>
      <w:b/>
      <w:bCs/>
      <w:color w:val="0000FF"/>
      <w:sz w:val="16"/>
      <w:szCs w:val="16"/>
    </w:rPr>
  </w:style>
  <w:style w:type="paragraph" w:customStyle="1" w:styleId="xl28">
    <w:name w:val="xl28"/>
    <w:basedOn w:val="Normal"/>
    <w:pPr>
      <w:pBdr>
        <w:top w:val="single" w:sz="4" w:space="0" w:color="auto"/>
      </w:pBdr>
      <w:shd w:val="clear" w:color="auto" w:fill="FFFFFF"/>
      <w:autoSpaceDE/>
      <w:autoSpaceDN/>
      <w:spacing w:before="100" w:beforeAutospacing="1" w:after="100" w:afterAutospacing="1"/>
    </w:pPr>
    <w:rPr>
      <w:rFonts w:ascii="Arial" w:eastAsia="Arial Unicode MS" w:hAnsi="Arial"/>
      <w:sz w:val="18"/>
      <w:szCs w:val="18"/>
    </w:rPr>
  </w:style>
  <w:style w:type="paragraph" w:customStyle="1" w:styleId="xl29">
    <w:name w:val="xl29"/>
    <w:basedOn w:val="Normal"/>
    <w:pPr>
      <w:pBdr>
        <w:top w:val="single" w:sz="4" w:space="0" w:color="auto"/>
        <w:right w:val="single" w:sz="4" w:space="0" w:color="auto"/>
      </w:pBdr>
      <w:shd w:val="clear" w:color="auto" w:fill="FFFFFF"/>
      <w:autoSpaceDE/>
      <w:autoSpaceDN/>
      <w:spacing w:before="100" w:beforeAutospacing="1" w:after="100" w:afterAutospacing="1"/>
    </w:pPr>
    <w:rPr>
      <w:rFonts w:ascii="Arial" w:eastAsia="Arial Unicode MS" w:hAnsi="Arial"/>
      <w:sz w:val="18"/>
      <w:szCs w:val="18"/>
    </w:rPr>
  </w:style>
  <w:style w:type="paragraph" w:customStyle="1" w:styleId="xl30">
    <w:name w:val="xl30"/>
    <w:basedOn w:val="Normal"/>
    <w:pPr>
      <w:pBdr>
        <w:bottom w:val="single" w:sz="4"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31">
    <w:name w:val="xl31"/>
    <w:basedOn w:val="Normal"/>
    <w:pPr>
      <w:pBdr>
        <w:top w:val="single" w:sz="8" w:space="0" w:color="auto"/>
        <w:left w:val="single" w:sz="8"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32">
    <w:name w:val="xl32"/>
    <w:basedOn w:val="Normal"/>
    <w:pPr>
      <w:pBdr>
        <w:top w:val="single" w:sz="8"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33">
    <w:name w:val="xl33"/>
    <w:basedOn w:val="Normal"/>
    <w:pPr>
      <w:pBdr>
        <w:top w:val="single" w:sz="8" w:space="0" w:color="auto"/>
        <w:right w:val="single" w:sz="8"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34">
    <w:name w:val="xl34"/>
    <w:basedOn w:val="Normal"/>
    <w:pPr>
      <w:pBdr>
        <w:left w:val="single" w:sz="8"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35">
    <w:name w:val="xl35"/>
    <w:basedOn w:val="Normal"/>
    <w:pPr>
      <w:pBdr>
        <w:right w:val="single" w:sz="8"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36">
    <w:name w:val="xl36"/>
    <w:basedOn w:val="Normal"/>
    <w:pPr>
      <w:pBdr>
        <w:left w:val="single" w:sz="8" w:space="0" w:color="auto"/>
        <w:bottom w:val="single" w:sz="4"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37">
    <w:name w:val="xl37"/>
    <w:basedOn w:val="Normal"/>
    <w:pPr>
      <w:pBdr>
        <w:top w:val="single" w:sz="4" w:space="0" w:color="auto"/>
        <w:left w:val="single" w:sz="8"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38">
    <w:name w:val="xl38"/>
    <w:basedOn w:val="Normal"/>
    <w:pPr>
      <w:pBdr>
        <w:top w:val="single" w:sz="4" w:space="0" w:color="auto"/>
        <w:right w:val="single" w:sz="8"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39">
    <w:name w:val="xl39"/>
    <w:basedOn w:val="Normal"/>
    <w:pPr>
      <w:pBdr>
        <w:left w:val="single" w:sz="8" w:space="0" w:color="auto"/>
        <w:bottom w:val="single" w:sz="8"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40">
    <w:name w:val="xl40"/>
    <w:basedOn w:val="Normal"/>
    <w:pPr>
      <w:pBdr>
        <w:bottom w:val="single" w:sz="8"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41">
    <w:name w:val="xl41"/>
    <w:basedOn w:val="Normal"/>
    <w:pPr>
      <w:pBdr>
        <w:bottom w:val="single" w:sz="8" w:space="0" w:color="auto"/>
        <w:right w:val="single" w:sz="8"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42">
    <w:name w:val="xl42"/>
    <w:basedOn w:val="Normal"/>
    <w:pPr>
      <w:shd w:val="clear" w:color="auto" w:fill="FFFFFF"/>
      <w:autoSpaceDE/>
      <w:autoSpaceDN/>
      <w:spacing w:before="100" w:beforeAutospacing="1" w:after="100" w:afterAutospacing="1"/>
    </w:pPr>
    <w:rPr>
      <w:rFonts w:ascii="Arial" w:eastAsia="Arial Unicode MS" w:hAnsi="Arial"/>
      <w:sz w:val="16"/>
      <w:szCs w:val="16"/>
    </w:rPr>
  </w:style>
  <w:style w:type="paragraph" w:customStyle="1" w:styleId="xl43">
    <w:name w:val="xl43"/>
    <w:basedOn w:val="Normal"/>
    <w:pP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44">
    <w:name w:val="xl44"/>
    <w:basedOn w:val="Normal"/>
    <w:pPr>
      <w:shd w:val="clear" w:color="auto" w:fill="FFFFFF"/>
      <w:autoSpaceDE/>
      <w:autoSpaceDN/>
      <w:spacing w:before="100" w:beforeAutospacing="1" w:after="100" w:afterAutospacing="1"/>
    </w:pPr>
    <w:rPr>
      <w:rFonts w:ascii="Arial" w:eastAsia="Arial Unicode MS" w:hAnsi="Arial"/>
      <w:sz w:val="16"/>
      <w:szCs w:val="16"/>
    </w:rPr>
  </w:style>
  <w:style w:type="paragraph" w:customStyle="1" w:styleId="xl45">
    <w:name w:val="xl45"/>
    <w:basedOn w:val="Normal"/>
    <w:pPr>
      <w:shd w:val="clear" w:color="auto" w:fill="FFFFFF"/>
      <w:autoSpaceDE/>
      <w:autoSpaceDN/>
      <w:spacing w:before="100" w:beforeAutospacing="1" w:after="100" w:afterAutospacing="1"/>
      <w:jc w:val="right"/>
    </w:pPr>
    <w:rPr>
      <w:rFonts w:ascii="Arial" w:eastAsia="Arial Unicode MS" w:hAnsi="Arial"/>
      <w:b/>
      <w:bCs/>
      <w:color w:val="0000FF"/>
      <w:sz w:val="16"/>
      <w:szCs w:val="16"/>
    </w:rPr>
  </w:style>
  <w:style w:type="paragraph" w:customStyle="1" w:styleId="xl46">
    <w:name w:val="xl46"/>
    <w:basedOn w:val="Normal"/>
    <w:pPr>
      <w:shd w:val="clear" w:color="auto" w:fill="FFFFFF"/>
      <w:autoSpaceDE/>
      <w:autoSpaceDN/>
      <w:spacing w:before="100" w:beforeAutospacing="1" w:after="100" w:afterAutospacing="1"/>
    </w:pPr>
    <w:rPr>
      <w:rFonts w:ascii="Arial" w:eastAsia="Arial Unicode MS" w:hAnsi="Arial"/>
      <w:sz w:val="16"/>
      <w:szCs w:val="16"/>
    </w:rPr>
  </w:style>
  <w:style w:type="paragraph" w:customStyle="1" w:styleId="xl47">
    <w:name w:val="xl47"/>
    <w:basedOn w:val="Normal"/>
    <w:pPr>
      <w:pBdr>
        <w:right w:val="single" w:sz="4" w:space="0" w:color="auto"/>
      </w:pBdr>
      <w:shd w:val="clear" w:color="auto" w:fill="FFFFFF"/>
      <w:autoSpaceDE/>
      <w:autoSpaceDN/>
      <w:spacing w:before="100" w:beforeAutospacing="1" w:after="100" w:afterAutospacing="1"/>
    </w:pPr>
    <w:rPr>
      <w:rFonts w:ascii="Arial" w:eastAsia="Arial Unicode MS" w:hAnsi="Arial"/>
      <w:sz w:val="16"/>
      <w:szCs w:val="16"/>
    </w:rPr>
  </w:style>
  <w:style w:type="paragraph" w:customStyle="1" w:styleId="xl48">
    <w:name w:val="xl48"/>
    <w:basedOn w:val="Normal"/>
    <w:pPr>
      <w:pBdr>
        <w:top w:val="single" w:sz="4" w:space="0" w:color="auto"/>
      </w:pBdr>
      <w:shd w:val="clear" w:color="auto" w:fill="FFFFFF"/>
      <w:autoSpaceDE/>
      <w:autoSpaceDN/>
      <w:spacing w:before="100" w:beforeAutospacing="1" w:after="100" w:afterAutospacing="1"/>
    </w:pPr>
    <w:rPr>
      <w:rFonts w:ascii="Arial" w:eastAsia="Arial Unicode MS" w:hAnsi="Arial"/>
      <w:b/>
      <w:bCs/>
      <w:color w:val="0000FF"/>
      <w:sz w:val="16"/>
      <w:szCs w:val="16"/>
    </w:rPr>
  </w:style>
  <w:style w:type="paragraph" w:customStyle="1" w:styleId="xl49">
    <w:name w:val="xl49"/>
    <w:basedOn w:val="Normal"/>
    <w:pPr>
      <w:pBdr>
        <w:right w:val="single" w:sz="4"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50">
    <w:name w:val="xl50"/>
    <w:basedOn w:val="Normal"/>
    <w:pPr>
      <w:pBdr>
        <w:top w:val="single" w:sz="4" w:space="0" w:color="auto"/>
        <w:right w:val="single" w:sz="4" w:space="0" w:color="auto"/>
      </w:pBdr>
      <w:shd w:val="clear" w:color="auto" w:fill="FFFFFF"/>
      <w:autoSpaceDE/>
      <w:autoSpaceDN/>
      <w:spacing w:before="100" w:beforeAutospacing="1" w:after="100" w:afterAutospacing="1"/>
      <w:jc w:val="center"/>
    </w:pPr>
    <w:rPr>
      <w:rFonts w:ascii="Arial" w:eastAsia="Arial Unicode MS" w:hAnsi="Arial"/>
      <w:b/>
      <w:bCs/>
      <w:color w:val="0000FF"/>
      <w:sz w:val="16"/>
      <w:szCs w:val="16"/>
    </w:rPr>
  </w:style>
  <w:style w:type="paragraph" w:customStyle="1" w:styleId="xl51">
    <w:name w:val="xl51"/>
    <w:basedOn w:val="Normal"/>
    <w:pPr>
      <w:pBdr>
        <w:top w:val="single" w:sz="4" w:space="0" w:color="auto"/>
        <w:right w:val="single" w:sz="4" w:space="0" w:color="auto"/>
      </w:pBdr>
      <w:autoSpaceDE/>
      <w:autoSpaceDN/>
      <w:spacing w:before="100" w:beforeAutospacing="1" w:after="100" w:afterAutospacing="1"/>
    </w:pPr>
    <w:rPr>
      <w:rFonts w:ascii="Arial" w:eastAsia="Arial Unicode MS" w:hAnsi="Arial"/>
      <w:color w:val="FFFFFF"/>
      <w:sz w:val="18"/>
      <w:szCs w:val="18"/>
    </w:rPr>
  </w:style>
  <w:style w:type="paragraph" w:customStyle="1" w:styleId="xl52">
    <w:name w:val="xl52"/>
    <w:basedOn w:val="Normal"/>
    <w:pPr>
      <w:pBdr>
        <w:right w:val="single" w:sz="4" w:space="0" w:color="auto"/>
      </w:pBdr>
      <w:autoSpaceDE/>
      <w:autoSpaceDN/>
      <w:spacing w:before="100" w:beforeAutospacing="1" w:after="100" w:afterAutospacing="1"/>
    </w:pPr>
    <w:rPr>
      <w:rFonts w:ascii="Arial" w:eastAsia="Arial Unicode MS" w:hAnsi="Arial"/>
      <w:color w:val="FFFFFF"/>
    </w:rPr>
  </w:style>
  <w:style w:type="paragraph" w:customStyle="1" w:styleId="xl53">
    <w:name w:val="xl53"/>
    <w:basedOn w:val="Normal"/>
    <w:pPr>
      <w:pBdr>
        <w:right w:val="single" w:sz="4" w:space="0" w:color="auto"/>
      </w:pBdr>
      <w:shd w:val="clear" w:color="auto" w:fill="FFFFFF"/>
      <w:autoSpaceDE/>
      <w:autoSpaceDN/>
      <w:spacing w:before="100" w:beforeAutospacing="1" w:after="100" w:afterAutospacing="1"/>
    </w:pPr>
    <w:rPr>
      <w:rFonts w:ascii="Arial" w:eastAsia="Arial Unicode MS" w:hAnsi="Arial"/>
      <w:sz w:val="16"/>
      <w:szCs w:val="16"/>
    </w:rPr>
  </w:style>
  <w:style w:type="paragraph" w:customStyle="1" w:styleId="xl54">
    <w:name w:val="xl54"/>
    <w:basedOn w:val="Normal"/>
    <w:pPr>
      <w:pBdr>
        <w:top w:val="single" w:sz="4" w:space="0" w:color="auto"/>
      </w:pBdr>
      <w:autoSpaceDE/>
      <w:autoSpaceDN/>
      <w:spacing w:before="100" w:beforeAutospacing="1" w:after="100" w:afterAutospacing="1"/>
    </w:pPr>
    <w:rPr>
      <w:rFonts w:ascii="Arial" w:eastAsia="Arial Unicode MS" w:hAnsi="Arial"/>
      <w:color w:val="FFFFFF"/>
      <w:sz w:val="18"/>
      <w:szCs w:val="18"/>
    </w:rPr>
  </w:style>
  <w:style w:type="paragraph" w:customStyle="1" w:styleId="xl55">
    <w:name w:val="xl55"/>
    <w:basedOn w:val="Normal"/>
    <w:pPr>
      <w:pBdr>
        <w:right w:val="single" w:sz="4" w:space="0" w:color="auto"/>
      </w:pBdr>
      <w:shd w:val="clear" w:color="auto" w:fill="FFFFFF"/>
      <w:autoSpaceDE/>
      <w:autoSpaceDN/>
      <w:spacing w:before="100" w:beforeAutospacing="1" w:after="100" w:afterAutospacing="1"/>
    </w:pPr>
    <w:rPr>
      <w:rFonts w:ascii="Arial" w:eastAsia="Arial Unicode MS" w:hAnsi="Arial"/>
      <w:sz w:val="18"/>
      <w:szCs w:val="18"/>
    </w:rPr>
  </w:style>
  <w:style w:type="paragraph" w:customStyle="1" w:styleId="xl56">
    <w:name w:val="xl56"/>
    <w:basedOn w:val="Normal"/>
    <w:pPr>
      <w:shd w:val="clear" w:color="auto" w:fill="FFFFFF"/>
      <w:autoSpaceDE/>
      <w:autoSpaceDN/>
      <w:spacing w:before="100" w:beforeAutospacing="1" w:after="100" w:afterAutospacing="1"/>
    </w:pPr>
    <w:rPr>
      <w:rFonts w:ascii="Arial" w:eastAsia="Arial Unicode MS" w:hAnsi="Arial"/>
      <w:b/>
      <w:bCs/>
      <w:color w:val="0000FF"/>
      <w:sz w:val="16"/>
      <w:szCs w:val="16"/>
    </w:rPr>
  </w:style>
  <w:style w:type="paragraph" w:customStyle="1" w:styleId="xl57">
    <w:name w:val="xl57"/>
    <w:basedOn w:val="Normal"/>
    <w:pPr>
      <w:pBdr>
        <w:right w:val="single" w:sz="4" w:space="0" w:color="auto"/>
      </w:pBdr>
      <w:shd w:val="clear" w:color="auto" w:fill="FFFFFF"/>
      <w:autoSpaceDE/>
      <w:autoSpaceDN/>
      <w:spacing w:before="100" w:beforeAutospacing="1" w:after="100" w:afterAutospacing="1"/>
    </w:pPr>
    <w:rPr>
      <w:rFonts w:ascii="Arial" w:eastAsia="Arial Unicode MS" w:hAnsi="Arial"/>
      <w:b/>
      <w:bCs/>
      <w:color w:val="0000FF"/>
      <w:sz w:val="16"/>
      <w:szCs w:val="16"/>
    </w:rPr>
  </w:style>
  <w:style w:type="paragraph" w:customStyle="1" w:styleId="xl58">
    <w:name w:val="xl58"/>
    <w:basedOn w:val="Normal"/>
    <w:pPr>
      <w:pBdr>
        <w:top w:val="single" w:sz="4" w:space="0" w:color="auto"/>
        <w:left w:val="single" w:sz="4" w:space="0" w:color="auto"/>
      </w:pBdr>
      <w:autoSpaceDE/>
      <w:autoSpaceDN/>
      <w:spacing w:before="100" w:beforeAutospacing="1" w:after="100" w:afterAutospacing="1"/>
    </w:pPr>
    <w:rPr>
      <w:rFonts w:ascii="Arial" w:eastAsia="Arial Unicode MS" w:hAnsi="Arial"/>
      <w:b/>
      <w:bCs/>
      <w:color w:val="FFFFFF"/>
      <w:sz w:val="16"/>
      <w:szCs w:val="16"/>
    </w:rPr>
  </w:style>
  <w:style w:type="paragraph" w:customStyle="1" w:styleId="xl59">
    <w:name w:val="xl59"/>
    <w:basedOn w:val="Normal"/>
    <w:pPr>
      <w:pBdr>
        <w:top w:val="single" w:sz="4" w:space="0" w:color="auto"/>
        <w:left w:val="single" w:sz="4" w:space="0" w:color="auto"/>
      </w:pBdr>
      <w:shd w:val="clear" w:color="auto" w:fill="FFFFFF"/>
      <w:autoSpaceDE/>
      <w:autoSpaceDN/>
      <w:spacing w:before="100" w:beforeAutospacing="1" w:after="100" w:afterAutospacing="1"/>
    </w:pPr>
    <w:rPr>
      <w:rFonts w:ascii="Arial" w:eastAsia="Arial Unicode MS" w:hAnsi="Arial"/>
      <w:sz w:val="18"/>
      <w:szCs w:val="18"/>
    </w:rPr>
  </w:style>
  <w:style w:type="paragraph" w:customStyle="1" w:styleId="xl60">
    <w:name w:val="xl60"/>
    <w:basedOn w:val="Normal"/>
    <w:pPr>
      <w:pBdr>
        <w:left w:val="single" w:sz="4" w:space="0" w:color="auto"/>
      </w:pBdr>
      <w:shd w:val="clear" w:color="auto" w:fill="FFFFFF"/>
      <w:autoSpaceDE/>
      <w:autoSpaceDN/>
      <w:spacing w:before="100" w:beforeAutospacing="1" w:after="100" w:afterAutospacing="1"/>
    </w:pPr>
    <w:rPr>
      <w:rFonts w:ascii="Arial" w:eastAsia="Arial Unicode MS" w:hAnsi="Arial"/>
      <w:sz w:val="16"/>
      <w:szCs w:val="16"/>
    </w:rPr>
  </w:style>
  <w:style w:type="paragraph" w:customStyle="1" w:styleId="xl61">
    <w:name w:val="xl61"/>
    <w:basedOn w:val="Normal"/>
    <w:pPr>
      <w:pBdr>
        <w:left w:val="single" w:sz="4"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62">
    <w:name w:val="xl62"/>
    <w:basedOn w:val="Normal"/>
    <w:pPr>
      <w:pBdr>
        <w:top w:val="single" w:sz="4" w:space="0" w:color="auto"/>
        <w:left w:val="single" w:sz="4" w:space="0" w:color="auto"/>
      </w:pBdr>
      <w:shd w:val="clear" w:color="auto" w:fill="FFFFFF"/>
      <w:autoSpaceDE/>
      <w:autoSpaceDN/>
      <w:spacing w:before="100" w:beforeAutospacing="1" w:after="100" w:afterAutospacing="1"/>
      <w:jc w:val="right"/>
    </w:pPr>
    <w:rPr>
      <w:rFonts w:ascii="Arial" w:eastAsia="Arial Unicode MS" w:hAnsi="Arial"/>
      <w:b/>
      <w:bCs/>
      <w:color w:val="0000FF"/>
      <w:sz w:val="16"/>
      <w:szCs w:val="16"/>
    </w:rPr>
  </w:style>
  <w:style w:type="paragraph" w:customStyle="1" w:styleId="xl63">
    <w:name w:val="xl63"/>
    <w:basedOn w:val="Normal"/>
    <w:pPr>
      <w:autoSpaceDE/>
      <w:autoSpaceDN/>
      <w:spacing w:before="100" w:beforeAutospacing="1" w:after="100" w:afterAutospacing="1"/>
      <w:jc w:val="right"/>
    </w:pPr>
    <w:rPr>
      <w:rFonts w:ascii="Arial" w:eastAsia="Arial Unicode MS" w:hAnsi="Arial"/>
      <w:b/>
      <w:bCs/>
      <w:color w:val="FFFFFF"/>
      <w:sz w:val="16"/>
      <w:szCs w:val="16"/>
    </w:rPr>
  </w:style>
  <w:style w:type="paragraph" w:customStyle="1" w:styleId="xl64">
    <w:name w:val="xl64"/>
    <w:basedOn w:val="Normal"/>
    <w:pPr>
      <w:pBdr>
        <w:left w:val="single" w:sz="4" w:space="0" w:color="auto"/>
        <w:bottom w:val="single" w:sz="4" w:space="0" w:color="auto"/>
      </w:pBdr>
      <w:autoSpaceDE/>
      <w:autoSpaceDN/>
      <w:spacing w:before="100" w:beforeAutospacing="1" w:after="100" w:afterAutospacing="1"/>
      <w:jc w:val="right"/>
    </w:pPr>
    <w:rPr>
      <w:rFonts w:ascii="Arial" w:eastAsia="Arial Unicode MS" w:hAnsi="Arial"/>
      <w:b/>
      <w:bCs/>
      <w:color w:val="FFFFFF"/>
      <w:sz w:val="16"/>
      <w:szCs w:val="16"/>
    </w:rPr>
  </w:style>
  <w:style w:type="paragraph" w:customStyle="1" w:styleId="xl65">
    <w:name w:val="xl65"/>
    <w:basedOn w:val="Normal"/>
    <w:pPr>
      <w:pBdr>
        <w:bottom w:val="single" w:sz="4" w:space="0" w:color="auto"/>
      </w:pBdr>
      <w:autoSpaceDE/>
      <w:autoSpaceDN/>
      <w:spacing w:before="100" w:beforeAutospacing="1" w:after="100" w:afterAutospacing="1"/>
      <w:jc w:val="right"/>
    </w:pPr>
    <w:rPr>
      <w:rFonts w:ascii="Arial" w:eastAsia="Arial Unicode MS" w:hAnsi="Arial"/>
      <w:b/>
      <w:bCs/>
      <w:color w:val="FFFFFF"/>
      <w:sz w:val="16"/>
      <w:szCs w:val="16"/>
    </w:rPr>
  </w:style>
  <w:style w:type="paragraph" w:customStyle="1" w:styleId="xl66">
    <w:name w:val="xl66"/>
    <w:basedOn w:val="Normal"/>
    <w:pPr>
      <w:pBdr>
        <w:bottom w:val="single" w:sz="4" w:space="0" w:color="auto"/>
        <w:right w:val="single" w:sz="4" w:space="0" w:color="auto"/>
      </w:pBdr>
      <w:autoSpaceDE/>
      <w:autoSpaceDN/>
      <w:spacing w:before="100" w:beforeAutospacing="1" w:after="100" w:afterAutospacing="1"/>
      <w:jc w:val="right"/>
    </w:pPr>
    <w:rPr>
      <w:rFonts w:ascii="Arial" w:eastAsia="Arial Unicode MS" w:hAnsi="Arial"/>
      <w:b/>
      <w:bCs/>
      <w:color w:val="FFFFFF"/>
      <w:sz w:val="16"/>
      <w:szCs w:val="16"/>
    </w:rPr>
  </w:style>
  <w:style w:type="paragraph" w:customStyle="1" w:styleId="xl67">
    <w:name w:val="xl67"/>
    <w:basedOn w:val="Normal"/>
    <w:pPr>
      <w:pBdr>
        <w:left w:val="single" w:sz="4" w:space="0" w:color="auto"/>
      </w:pBdr>
      <w:autoSpaceDE/>
      <w:autoSpaceDN/>
      <w:spacing w:before="100" w:beforeAutospacing="1" w:after="100" w:afterAutospacing="1"/>
    </w:pPr>
    <w:rPr>
      <w:rFonts w:ascii="Arial" w:eastAsia="Arial Unicode MS" w:hAnsi="Arial"/>
      <w:color w:val="FFFFFF"/>
    </w:rPr>
  </w:style>
  <w:style w:type="paragraph" w:customStyle="1" w:styleId="xl68">
    <w:name w:val="xl68"/>
    <w:basedOn w:val="Normal"/>
    <w:pPr>
      <w:pBdr>
        <w:left w:val="single" w:sz="4" w:space="0" w:color="auto"/>
        <w:bottom w:val="single" w:sz="4" w:space="0" w:color="auto"/>
      </w:pBdr>
      <w:shd w:val="clear" w:color="auto" w:fill="FFFFFF"/>
      <w:autoSpaceDE/>
      <w:autoSpaceDN/>
      <w:spacing w:before="100" w:beforeAutospacing="1" w:after="100" w:afterAutospacing="1"/>
      <w:jc w:val="right"/>
    </w:pPr>
    <w:rPr>
      <w:rFonts w:ascii="Arial" w:eastAsia="Arial Unicode MS" w:hAnsi="Arial"/>
      <w:b/>
      <w:bCs/>
      <w:color w:val="0000FF"/>
      <w:sz w:val="16"/>
      <w:szCs w:val="16"/>
    </w:rPr>
  </w:style>
  <w:style w:type="paragraph" w:customStyle="1" w:styleId="xl69">
    <w:name w:val="xl69"/>
    <w:basedOn w:val="Normal"/>
    <w:pPr>
      <w:pBdr>
        <w:bottom w:val="single" w:sz="4" w:space="0" w:color="auto"/>
      </w:pBdr>
      <w:shd w:val="clear" w:color="auto" w:fill="FFFFFF"/>
      <w:autoSpaceDE/>
      <w:autoSpaceDN/>
      <w:spacing w:before="100" w:beforeAutospacing="1" w:after="100" w:afterAutospacing="1"/>
      <w:jc w:val="right"/>
    </w:pPr>
    <w:rPr>
      <w:rFonts w:ascii="Arial" w:eastAsia="Arial Unicode MS" w:hAnsi="Arial"/>
      <w:b/>
      <w:bCs/>
      <w:color w:val="0000FF"/>
      <w:sz w:val="16"/>
      <w:szCs w:val="16"/>
    </w:rPr>
  </w:style>
  <w:style w:type="paragraph" w:customStyle="1" w:styleId="xl70">
    <w:name w:val="xl70"/>
    <w:basedOn w:val="Normal"/>
    <w:pPr>
      <w:pBdr>
        <w:bottom w:val="single" w:sz="4" w:space="0" w:color="auto"/>
        <w:right w:val="single" w:sz="4" w:space="0" w:color="auto"/>
      </w:pBdr>
      <w:shd w:val="clear" w:color="auto" w:fill="FFFFFF"/>
      <w:autoSpaceDE/>
      <w:autoSpaceDN/>
      <w:spacing w:before="100" w:beforeAutospacing="1" w:after="100" w:afterAutospacing="1"/>
      <w:jc w:val="right"/>
    </w:pPr>
    <w:rPr>
      <w:rFonts w:ascii="Arial" w:eastAsia="Arial Unicode MS" w:hAnsi="Arial"/>
      <w:b/>
      <w:bCs/>
      <w:color w:val="0000FF"/>
      <w:sz w:val="16"/>
      <w:szCs w:val="16"/>
    </w:rPr>
  </w:style>
  <w:style w:type="paragraph" w:customStyle="1" w:styleId="xl71">
    <w:name w:val="xl71"/>
    <w:basedOn w:val="Normal"/>
    <w:pPr>
      <w:shd w:val="clear" w:color="auto" w:fill="FFFFFF"/>
      <w:autoSpaceDE/>
      <w:autoSpaceDN/>
      <w:spacing w:before="100" w:beforeAutospacing="1" w:after="100" w:afterAutospacing="1"/>
      <w:jc w:val="right"/>
    </w:pPr>
    <w:rPr>
      <w:rFonts w:ascii="Arial" w:eastAsia="Arial Unicode MS" w:hAnsi="Arial"/>
      <w:b/>
      <w:bCs/>
      <w:color w:val="0000FF"/>
      <w:sz w:val="16"/>
      <w:szCs w:val="16"/>
    </w:rPr>
  </w:style>
  <w:style w:type="paragraph" w:customStyle="1" w:styleId="xl72">
    <w:name w:val="xl72"/>
    <w:basedOn w:val="Normal"/>
    <w:pPr>
      <w:pBdr>
        <w:top w:val="single" w:sz="4" w:space="0" w:color="auto"/>
      </w:pBdr>
      <w:shd w:val="clear" w:color="auto" w:fill="FFFFFF"/>
      <w:autoSpaceDE/>
      <w:autoSpaceDN/>
      <w:spacing w:before="100" w:beforeAutospacing="1" w:after="100" w:afterAutospacing="1"/>
      <w:jc w:val="right"/>
    </w:pPr>
    <w:rPr>
      <w:rFonts w:ascii="Arial" w:eastAsia="Arial Unicode MS" w:hAnsi="Arial"/>
      <w:b/>
      <w:bCs/>
      <w:color w:val="0000FF"/>
      <w:sz w:val="16"/>
      <w:szCs w:val="16"/>
    </w:rPr>
  </w:style>
  <w:style w:type="paragraph" w:customStyle="1" w:styleId="xl73">
    <w:name w:val="xl73"/>
    <w:basedOn w:val="Normal"/>
    <w:pPr>
      <w:pBdr>
        <w:bottom w:val="single" w:sz="4" w:space="0" w:color="auto"/>
      </w:pBdr>
      <w:shd w:val="clear" w:color="auto" w:fill="FFFFFF"/>
      <w:autoSpaceDE/>
      <w:autoSpaceDN/>
      <w:spacing w:before="100" w:beforeAutospacing="1" w:after="100" w:afterAutospacing="1"/>
    </w:pPr>
    <w:rPr>
      <w:rFonts w:ascii="Arial" w:eastAsia="Arial Unicode MS" w:hAnsi="Arial"/>
      <w:b/>
      <w:bCs/>
      <w:color w:val="0000FF"/>
      <w:sz w:val="16"/>
      <w:szCs w:val="16"/>
    </w:rPr>
  </w:style>
  <w:style w:type="paragraph" w:customStyle="1" w:styleId="xl74">
    <w:name w:val="xl74"/>
    <w:basedOn w:val="Normal"/>
    <w:pPr>
      <w:pBdr>
        <w:bottom w:val="single" w:sz="4" w:space="0" w:color="auto"/>
        <w:right w:val="single" w:sz="8" w:space="0" w:color="auto"/>
      </w:pBdr>
      <w:shd w:val="clear" w:color="auto" w:fill="FFFFFF"/>
      <w:autoSpaceDE/>
      <w:autoSpaceDN/>
      <w:spacing w:before="100" w:beforeAutospacing="1" w:after="100" w:afterAutospacing="1"/>
      <w:jc w:val="right"/>
    </w:pPr>
    <w:rPr>
      <w:rFonts w:ascii="Arial" w:eastAsia="Arial Unicode MS" w:hAnsi="Arial"/>
      <w:b/>
      <w:bCs/>
      <w:color w:val="0000FF"/>
      <w:sz w:val="16"/>
      <w:szCs w:val="16"/>
    </w:rPr>
  </w:style>
  <w:style w:type="paragraph" w:customStyle="1" w:styleId="xl75">
    <w:name w:val="xl75"/>
    <w:basedOn w:val="Normal"/>
    <w:pPr>
      <w:pBdr>
        <w:left w:val="single" w:sz="4" w:space="0" w:color="auto"/>
        <w:bottom w:val="single" w:sz="8" w:space="0" w:color="auto"/>
      </w:pBdr>
      <w:shd w:val="clear" w:color="auto" w:fill="FFFFFF"/>
      <w:autoSpaceDE/>
      <w:autoSpaceDN/>
      <w:spacing w:before="100" w:beforeAutospacing="1" w:after="100" w:afterAutospacing="1"/>
    </w:pPr>
    <w:rPr>
      <w:rFonts w:ascii="Arial Unicode MS" w:eastAsia="Arial Unicode MS" w:hAnsi="Arial Unicode MS"/>
    </w:rPr>
  </w:style>
  <w:style w:type="paragraph" w:customStyle="1" w:styleId="xl76">
    <w:name w:val="xl76"/>
    <w:basedOn w:val="Normal"/>
    <w:pPr>
      <w:pBdr>
        <w:bottom w:val="single" w:sz="8" w:space="0" w:color="auto"/>
        <w:right w:val="single" w:sz="4" w:space="0" w:color="auto"/>
      </w:pBdr>
      <w:shd w:val="clear" w:color="auto" w:fill="FFFFFF"/>
      <w:autoSpaceDE/>
      <w:autoSpaceDN/>
      <w:spacing w:before="100" w:beforeAutospacing="1" w:after="100" w:afterAutospacing="1"/>
    </w:pPr>
    <w:rPr>
      <w:rFonts w:ascii="Arial Unicode MS" w:eastAsia="Arial Unicode MS" w:hAnsi="Arial Unicode MS"/>
    </w:rPr>
  </w:style>
  <w:style w:type="character" w:styleId="Strong">
    <w:name w:val="Strong"/>
    <w:uiPriority w:val="22"/>
    <w:qFormat/>
    <w:rPr>
      <w:b/>
      <w:bCs/>
    </w:rPr>
  </w:style>
  <w:style w:type="character" w:customStyle="1" w:styleId="text">
    <w:name w:val="text"/>
    <w:basedOn w:val="DefaultParagraphFont"/>
  </w:style>
  <w:style w:type="paragraph" w:styleId="BodyTextIndent">
    <w:name w:val="Body Text Indent"/>
    <w:basedOn w:val="Normal"/>
    <w:pPr>
      <w:autoSpaceDE/>
      <w:autoSpaceDN/>
      <w:spacing w:after="120"/>
      <w:ind w:left="360"/>
    </w:pPr>
    <w:rPr>
      <w:lang w:val="en-GB"/>
    </w:rPr>
  </w:style>
  <w:style w:type="paragraph" w:styleId="PlainText">
    <w:name w:val="Plain Text"/>
    <w:basedOn w:val="Normal"/>
    <w:rsid w:val="000F54F4"/>
    <w:pPr>
      <w:autoSpaceDE/>
      <w:autoSpaceDN/>
    </w:pPr>
    <w:rPr>
      <w:rFonts w:ascii="Courier New" w:hAnsi="Courier New" w:cs="Courier New"/>
      <w:sz w:val="20"/>
      <w:szCs w:val="20"/>
      <w:lang w:val="fr-FR" w:eastAsia="fr-FR"/>
    </w:rPr>
  </w:style>
  <w:style w:type="table" w:styleId="TableGrid">
    <w:name w:val="Table Grid"/>
    <w:basedOn w:val="TableNormal"/>
    <w:rsid w:val="00D165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51A58"/>
    <w:rPr>
      <w:rFonts w:ascii="Tahoma" w:hAnsi="Tahoma"/>
      <w:sz w:val="16"/>
      <w:szCs w:val="16"/>
      <w:lang w:val="x-none" w:eastAsia="x-none"/>
    </w:rPr>
  </w:style>
  <w:style w:type="character" w:customStyle="1" w:styleId="BalloonTextChar">
    <w:name w:val="Balloon Text Char"/>
    <w:link w:val="BalloonText"/>
    <w:rsid w:val="00451A58"/>
    <w:rPr>
      <w:rFonts w:ascii="Tahoma" w:hAnsi="Tahoma" w:cs="Tahoma"/>
      <w:sz w:val="16"/>
      <w:szCs w:val="16"/>
    </w:rPr>
  </w:style>
  <w:style w:type="character" w:customStyle="1" w:styleId="bernard">
    <w:name w:val="bernard"/>
    <w:semiHidden/>
    <w:rsid w:val="008D16E0"/>
    <w:rPr>
      <w:rFonts w:ascii="Arial" w:hAnsi="Arial" w:cs="Arial"/>
      <w:color w:val="000080"/>
      <w:sz w:val="20"/>
      <w:szCs w:val="20"/>
    </w:rPr>
  </w:style>
  <w:style w:type="paragraph" w:styleId="ListParagraph">
    <w:name w:val="List Paragraph"/>
    <w:basedOn w:val="Normal"/>
    <w:uiPriority w:val="34"/>
    <w:qFormat/>
    <w:rsid w:val="005E5423"/>
    <w:pPr>
      <w:autoSpaceDE/>
      <w:autoSpaceDN/>
      <w:spacing w:after="200" w:line="276" w:lineRule="auto"/>
      <w:ind w:left="720"/>
    </w:pPr>
    <w:rPr>
      <w:rFonts w:ascii="Calibri" w:eastAsia="Calibri" w:hAnsi="Calibri"/>
      <w:sz w:val="22"/>
      <w:szCs w:val="22"/>
    </w:rPr>
  </w:style>
  <w:style w:type="character" w:customStyle="1" w:styleId="FooterChar">
    <w:name w:val="Footer Char"/>
    <w:link w:val="Footer"/>
    <w:uiPriority w:val="99"/>
    <w:rsid w:val="008F2549"/>
    <w:rPr>
      <w:lang w:val="en-GB" w:eastAsia="en-US"/>
    </w:rPr>
  </w:style>
  <w:style w:type="paragraph" w:styleId="NormalWeb">
    <w:name w:val="Normal (Web)"/>
    <w:basedOn w:val="Normal"/>
    <w:uiPriority w:val="99"/>
    <w:unhideWhenUsed/>
    <w:rsid w:val="00E11E08"/>
    <w:pPr>
      <w:autoSpaceDE/>
      <w:autoSpaceDN/>
      <w:spacing w:before="100" w:beforeAutospacing="1" w:after="100" w:afterAutospacing="1"/>
    </w:pPr>
    <w:rPr>
      <w:lang w:val="nl-BE" w:eastAsia="nl-BE"/>
    </w:rPr>
  </w:style>
  <w:style w:type="paragraph" w:styleId="Caption">
    <w:name w:val="caption"/>
    <w:basedOn w:val="Normal"/>
    <w:next w:val="Normal"/>
    <w:uiPriority w:val="35"/>
    <w:unhideWhenUsed/>
    <w:qFormat/>
    <w:rsid w:val="009246C8"/>
    <w:pPr>
      <w:autoSpaceDE/>
      <w:autoSpaceDN/>
      <w:spacing w:after="200"/>
    </w:pPr>
    <w:rPr>
      <w:rFonts w:ascii="Calibri" w:eastAsia="Calibri" w:hAnsi="Calibri"/>
      <w:b/>
      <w:bCs/>
      <w:color w:val="4F81BD"/>
      <w:sz w:val="18"/>
      <w:szCs w:val="18"/>
      <w:lang w:val="en-GB"/>
    </w:rPr>
  </w:style>
  <w:style w:type="character" w:customStyle="1" w:styleId="FootnoteTextChar">
    <w:name w:val="Footnote Text Char"/>
    <w:link w:val="FootnoteText"/>
    <w:uiPriority w:val="99"/>
    <w:semiHidden/>
    <w:rsid w:val="009246C8"/>
    <w:rPr>
      <w:lang w:val="en-US" w:eastAsia="en-US"/>
    </w:rPr>
  </w:style>
  <w:style w:type="paragraph" w:styleId="DocumentMap">
    <w:name w:val="Document Map"/>
    <w:basedOn w:val="Normal"/>
    <w:link w:val="DocumentMapChar"/>
    <w:rsid w:val="00104F7D"/>
    <w:rPr>
      <w:rFonts w:ascii="Tahoma" w:hAnsi="Tahoma"/>
      <w:sz w:val="16"/>
      <w:szCs w:val="16"/>
    </w:rPr>
  </w:style>
  <w:style w:type="character" w:customStyle="1" w:styleId="DocumentMapChar">
    <w:name w:val="Document Map Char"/>
    <w:link w:val="DocumentMap"/>
    <w:rsid w:val="00104F7D"/>
    <w:rPr>
      <w:rFonts w:ascii="Tahoma" w:hAnsi="Tahoma" w:cs="Tahoma"/>
      <w:sz w:val="16"/>
      <w:szCs w:val="16"/>
      <w:lang w:val="en-US" w:eastAsia="en-US"/>
    </w:rPr>
  </w:style>
  <w:style w:type="paragraph" w:styleId="EndnoteText">
    <w:name w:val="endnote text"/>
    <w:basedOn w:val="Normal"/>
    <w:link w:val="EndnoteTextChar"/>
    <w:rsid w:val="00477B24"/>
    <w:rPr>
      <w:sz w:val="20"/>
      <w:szCs w:val="20"/>
    </w:rPr>
  </w:style>
  <w:style w:type="character" w:customStyle="1" w:styleId="EndnoteTextChar">
    <w:name w:val="Endnote Text Char"/>
    <w:basedOn w:val="DefaultParagraphFont"/>
    <w:link w:val="EndnoteText"/>
    <w:rsid w:val="00477B24"/>
  </w:style>
  <w:style w:type="character" w:styleId="EndnoteReference">
    <w:name w:val="endnote reference"/>
    <w:rsid w:val="00477B24"/>
    <w:rPr>
      <w:vertAlign w:val="superscript"/>
    </w:rPr>
  </w:style>
  <w:style w:type="character" w:styleId="CommentReference">
    <w:name w:val="annotation reference"/>
    <w:rsid w:val="008441F9"/>
    <w:rPr>
      <w:sz w:val="16"/>
      <w:szCs w:val="16"/>
    </w:rPr>
  </w:style>
  <w:style w:type="paragraph" w:styleId="CommentText">
    <w:name w:val="annotation text"/>
    <w:basedOn w:val="Normal"/>
    <w:link w:val="CommentTextChar"/>
    <w:rsid w:val="008441F9"/>
    <w:rPr>
      <w:sz w:val="20"/>
      <w:szCs w:val="20"/>
    </w:rPr>
  </w:style>
  <w:style w:type="character" w:customStyle="1" w:styleId="CommentTextChar">
    <w:name w:val="Comment Text Char"/>
    <w:link w:val="CommentText"/>
    <w:rsid w:val="008441F9"/>
    <w:rPr>
      <w:lang w:val="en-US" w:eastAsia="en-US"/>
    </w:rPr>
  </w:style>
  <w:style w:type="paragraph" w:styleId="CommentSubject">
    <w:name w:val="annotation subject"/>
    <w:basedOn w:val="CommentText"/>
    <w:next w:val="CommentText"/>
    <w:link w:val="CommentSubjectChar"/>
    <w:rsid w:val="008441F9"/>
    <w:rPr>
      <w:b/>
      <w:bCs/>
    </w:rPr>
  </w:style>
  <w:style w:type="character" w:customStyle="1" w:styleId="CommentSubjectChar">
    <w:name w:val="Comment Subject Char"/>
    <w:link w:val="CommentSubject"/>
    <w:rsid w:val="008441F9"/>
    <w:rPr>
      <w:b/>
      <w:bCs/>
      <w:lang w:val="en-US" w:eastAsia="en-US"/>
    </w:rPr>
  </w:style>
  <w:style w:type="character" w:styleId="Emphasis">
    <w:name w:val="Emphasis"/>
    <w:basedOn w:val="DefaultParagraphFont"/>
    <w:uiPriority w:val="20"/>
    <w:qFormat/>
    <w:rsid w:val="00FC53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7795">
      <w:bodyDiv w:val="1"/>
      <w:marLeft w:val="0"/>
      <w:marRight w:val="0"/>
      <w:marTop w:val="0"/>
      <w:marBottom w:val="0"/>
      <w:divBdr>
        <w:top w:val="none" w:sz="0" w:space="0" w:color="auto"/>
        <w:left w:val="none" w:sz="0" w:space="0" w:color="auto"/>
        <w:bottom w:val="none" w:sz="0" w:space="0" w:color="auto"/>
        <w:right w:val="none" w:sz="0" w:space="0" w:color="auto"/>
      </w:divBdr>
    </w:div>
    <w:div w:id="148521087">
      <w:bodyDiv w:val="1"/>
      <w:marLeft w:val="0"/>
      <w:marRight w:val="0"/>
      <w:marTop w:val="0"/>
      <w:marBottom w:val="0"/>
      <w:divBdr>
        <w:top w:val="none" w:sz="0" w:space="0" w:color="auto"/>
        <w:left w:val="none" w:sz="0" w:space="0" w:color="auto"/>
        <w:bottom w:val="none" w:sz="0" w:space="0" w:color="auto"/>
        <w:right w:val="none" w:sz="0" w:space="0" w:color="auto"/>
      </w:divBdr>
    </w:div>
    <w:div w:id="205728049">
      <w:bodyDiv w:val="1"/>
      <w:marLeft w:val="0"/>
      <w:marRight w:val="0"/>
      <w:marTop w:val="0"/>
      <w:marBottom w:val="0"/>
      <w:divBdr>
        <w:top w:val="none" w:sz="0" w:space="0" w:color="auto"/>
        <w:left w:val="none" w:sz="0" w:space="0" w:color="auto"/>
        <w:bottom w:val="none" w:sz="0" w:space="0" w:color="auto"/>
        <w:right w:val="none" w:sz="0" w:space="0" w:color="auto"/>
      </w:divBdr>
    </w:div>
    <w:div w:id="223680195">
      <w:bodyDiv w:val="1"/>
      <w:marLeft w:val="0"/>
      <w:marRight w:val="0"/>
      <w:marTop w:val="0"/>
      <w:marBottom w:val="0"/>
      <w:divBdr>
        <w:top w:val="none" w:sz="0" w:space="0" w:color="auto"/>
        <w:left w:val="none" w:sz="0" w:space="0" w:color="auto"/>
        <w:bottom w:val="none" w:sz="0" w:space="0" w:color="auto"/>
        <w:right w:val="none" w:sz="0" w:space="0" w:color="auto"/>
      </w:divBdr>
    </w:div>
    <w:div w:id="228811153">
      <w:bodyDiv w:val="1"/>
      <w:marLeft w:val="0"/>
      <w:marRight w:val="0"/>
      <w:marTop w:val="0"/>
      <w:marBottom w:val="0"/>
      <w:divBdr>
        <w:top w:val="none" w:sz="0" w:space="0" w:color="auto"/>
        <w:left w:val="none" w:sz="0" w:space="0" w:color="auto"/>
        <w:bottom w:val="none" w:sz="0" w:space="0" w:color="auto"/>
        <w:right w:val="none" w:sz="0" w:space="0" w:color="auto"/>
      </w:divBdr>
    </w:div>
    <w:div w:id="244464110">
      <w:bodyDiv w:val="1"/>
      <w:marLeft w:val="0"/>
      <w:marRight w:val="0"/>
      <w:marTop w:val="0"/>
      <w:marBottom w:val="0"/>
      <w:divBdr>
        <w:top w:val="none" w:sz="0" w:space="0" w:color="auto"/>
        <w:left w:val="none" w:sz="0" w:space="0" w:color="auto"/>
        <w:bottom w:val="none" w:sz="0" w:space="0" w:color="auto"/>
        <w:right w:val="none" w:sz="0" w:space="0" w:color="auto"/>
      </w:divBdr>
    </w:div>
    <w:div w:id="248200883">
      <w:bodyDiv w:val="1"/>
      <w:marLeft w:val="0"/>
      <w:marRight w:val="0"/>
      <w:marTop w:val="0"/>
      <w:marBottom w:val="0"/>
      <w:divBdr>
        <w:top w:val="none" w:sz="0" w:space="0" w:color="auto"/>
        <w:left w:val="none" w:sz="0" w:space="0" w:color="auto"/>
        <w:bottom w:val="none" w:sz="0" w:space="0" w:color="auto"/>
        <w:right w:val="none" w:sz="0" w:space="0" w:color="auto"/>
      </w:divBdr>
    </w:div>
    <w:div w:id="248462325">
      <w:bodyDiv w:val="1"/>
      <w:marLeft w:val="0"/>
      <w:marRight w:val="0"/>
      <w:marTop w:val="0"/>
      <w:marBottom w:val="0"/>
      <w:divBdr>
        <w:top w:val="none" w:sz="0" w:space="0" w:color="auto"/>
        <w:left w:val="none" w:sz="0" w:space="0" w:color="auto"/>
        <w:bottom w:val="none" w:sz="0" w:space="0" w:color="auto"/>
        <w:right w:val="none" w:sz="0" w:space="0" w:color="auto"/>
      </w:divBdr>
    </w:div>
    <w:div w:id="253709864">
      <w:bodyDiv w:val="1"/>
      <w:marLeft w:val="0"/>
      <w:marRight w:val="0"/>
      <w:marTop w:val="0"/>
      <w:marBottom w:val="0"/>
      <w:divBdr>
        <w:top w:val="none" w:sz="0" w:space="0" w:color="auto"/>
        <w:left w:val="none" w:sz="0" w:space="0" w:color="auto"/>
        <w:bottom w:val="none" w:sz="0" w:space="0" w:color="auto"/>
        <w:right w:val="none" w:sz="0" w:space="0" w:color="auto"/>
      </w:divBdr>
    </w:div>
    <w:div w:id="291331728">
      <w:bodyDiv w:val="1"/>
      <w:marLeft w:val="0"/>
      <w:marRight w:val="0"/>
      <w:marTop w:val="0"/>
      <w:marBottom w:val="0"/>
      <w:divBdr>
        <w:top w:val="none" w:sz="0" w:space="0" w:color="auto"/>
        <w:left w:val="none" w:sz="0" w:space="0" w:color="auto"/>
        <w:bottom w:val="none" w:sz="0" w:space="0" w:color="auto"/>
        <w:right w:val="none" w:sz="0" w:space="0" w:color="auto"/>
      </w:divBdr>
    </w:div>
    <w:div w:id="322973802">
      <w:bodyDiv w:val="1"/>
      <w:marLeft w:val="0"/>
      <w:marRight w:val="0"/>
      <w:marTop w:val="0"/>
      <w:marBottom w:val="0"/>
      <w:divBdr>
        <w:top w:val="none" w:sz="0" w:space="0" w:color="auto"/>
        <w:left w:val="none" w:sz="0" w:space="0" w:color="auto"/>
        <w:bottom w:val="none" w:sz="0" w:space="0" w:color="auto"/>
        <w:right w:val="none" w:sz="0" w:space="0" w:color="auto"/>
      </w:divBdr>
    </w:div>
    <w:div w:id="347218254">
      <w:bodyDiv w:val="1"/>
      <w:marLeft w:val="0"/>
      <w:marRight w:val="0"/>
      <w:marTop w:val="0"/>
      <w:marBottom w:val="0"/>
      <w:divBdr>
        <w:top w:val="none" w:sz="0" w:space="0" w:color="auto"/>
        <w:left w:val="none" w:sz="0" w:space="0" w:color="auto"/>
        <w:bottom w:val="none" w:sz="0" w:space="0" w:color="auto"/>
        <w:right w:val="none" w:sz="0" w:space="0" w:color="auto"/>
      </w:divBdr>
      <w:divsChild>
        <w:div w:id="2064135576">
          <w:marLeft w:val="0"/>
          <w:marRight w:val="0"/>
          <w:marTop w:val="0"/>
          <w:marBottom w:val="0"/>
          <w:divBdr>
            <w:top w:val="none" w:sz="0" w:space="0" w:color="auto"/>
            <w:left w:val="none" w:sz="0" w:space="0" w:color="auto"/>
            <w:bottom w:val="none" w:sz="0" w:space="0" w:color="auto"/>
            <w:right w:val="none" w:sz="0" w:space="0" w:color="auto"/>
          </w:divBdr>
        </w:div>
      </w:divsChild>
    </w:div>
    <w:div w:id="350685564">
      <w:bodyDiv w:val="1"/>
      <w:marLeft w:val="0"/>
      <w:marRight w:val="0"/>
      <w:marTop w:val="0"/>
      <w:marBottom w:val="0"/>
      <w:divBdr>
        <w:top w:val="none" w:sz="0" w:space="0" w:color="auto"/>
        <w:left w:val="none" w:sz="0" w:space="0" w:color="auto"/>
        <w:bottom w:val="none" w:sz="0" w:space="0" w:color="auto"/>
        <w:right w:val="none" w:sz="0" w:space="0" w:color="auto"/>
      </w:divBdr>
    </w:div>
    <w:div w:id="389959734">
      <w:bodyDiv w:val="1"/>
      <w:marLeft w:val="0"/>
      <w:marRight w:val="0"/>
      <w:marTop w:val="0"/>
      <w:marBottom w:val="0"/>
      <w:divBdr>
        <w:top w:val="none" w:sz="0" w:space="0" w:color="auto"/>
        <w:left w:val="none" w:sz="0" w:space="0" w:color="auto"/>
        <w:bottom w:val="none" w:sz="0" w:space="0" w:color="auto"/>
        <w:right w:val="none" w:sz="0" w:space="0" w:color="auto"/>
      </w:divBdr>
    </w:div>
    <w:div w:id="392696824">
      <w:bodyDiv w:val="1"/>
      <w:marLeft w:val="0"/>
      <w:marRight w:val="0"/>
      <w:marTop w:val="0"/>
      <w:marBottom w:val="0"/>
      <w:divBdr>
        <w:top w:val="none" w:sz="0" w:space="0" w:color="auto"/>
        <w:left w:val="none" w:sz="0" w:space="0" w:color="auto"/>
        <w:bottom w:val="none" w:sz="0" w:space="0" w:color="auto"/>
        <w:right w:val="none" w:sz="0" w:space="0" w:color="auto"/>
      </w:divBdr>
    </w:div>
    <w:div w:id="451246806">
      <w:bodyDiv w:val="1"/>
      <w:marLeft w:val="0"/>
      <w:marRight w:val="0"/>
      <w:marTop w:val="0"/>
      <w:marBottom w:val="0"/>
      <w:divBdr>
        <w:top w:val="none" w:sz="0" w:space="0" w:color="auto"/>
        <w:left w:val="none" w:sz="0" w:space="0" w:color="auto"/>
        <w:bottom w:val="none" w:sz="0" w:space="0" w:color="auto"/>
        <w:right w:val="none" w:sz="0" w:space="0" w:color="auto"/>
      </w:divBdr>
    </w:div>
    <w:div w:id="493492855">
      <w:bodyDiv w:val="1"/>
      <w:marLeft w:val="0"/>
      <w:marRight w:val="0"/>
      <w:marTop w:val="0"/>
      <w:marBottom w:val="0"/>
      <w:divBdr>
        <w:top w:val="none" w:sz="0" w:space="0" w:color="auto"/>
        <w:left w:val="none" w:sz="0" w:space="0" w:color="auto"/>
        <w:bottom w:val="none" w:sz="0" w:space="0" w:color="auto"/>
        <w:right w:val="none" w:sz="0" w:space="0" w:color="auto"/>
      </w:divBdr>
    </w:div>
    <w:div w:id="524292097">
      <w:bodyDiv w:val="1"/>
      <w:marLeft w:val="0"/>
      <w:marRight w:val="0"/>
      <w:marTop w:val="0"/>
      <w:marBottom w:val="0"/>
      <w:divBdr>
        <w:top w:val="none" w:sz="0" w:space="0" w:color="auto"/>
        <w:left w:val="none" w:sz="0" w:space="0" w:color="auto"/>
        <w:bottom w:val="none" w:sz="0" w:space="0" w:color="auto"/>
        <w:right w:val="none" w:sz="0" w:space="0" w:color="auto"/>
      </w:divBdr>
    </w:div>
    <w:div w:id="552426266">
      <w:bodyDiv w:val="1"/>
      <w:marLeft w:val="0"/>
      <w:marRight w:val="0"/>
      <w:marTop w:val="0"/>
      <w:marBottom w:val="0"/>
      <w:divBdr>
        <w:top w:val="none" w:sz="0" w:space="0" w:color="auto"/>
        <w:left w:val="none" w:sz="0" w:space="0" w:color="auto"/>
        <w:bottom w:val="none" w:sz="0" w:space="0" w:color="auto"/>
        <w:right w:val="none" w:sz="0" w:space="0" w:color="auto"/>
      </w:divBdr>
    </w:div>
    <w:div w:id="561137181">
      <w:bodyDiv w:val="1"/>
      <w:marLeft w:val="0"/>
      <w:marRight w:val="0"/>
      <w:marTop w:val="0"/>
      <w:marBottom w:val="0"/>
      <w:divBdr>
        <w:top w:val="none" w:sz="0" w:space="0" w:color="auto"/>
        <w:left w:val="none" w:sz="0" w:space="0" w:color="auto"/>
        <w:bottom w:val="none" w:sz="0" w:space="0" w:color="auto"/>
        <w:right w:val="none" w:sz="0" w:space="0" w:color="auto"/>
      </w:divBdr>
    </w:div>
    <w:div w:id="611520154">
      <w:bodyDiv w:val="1"/>
      <w:marLeft w:val="0"/>
      <w:marRight w:val="0"/>
      <w:marTop w:val="0"/>
      <w:marBottom w:val="0"/>
      <w:divBdr>
        <w:top w:val="none" w:sz="0" w:space="0" w:color="auto"/>
        <w:left w:val="none" w:sz="0" w:space="0" w:color="auto"/>
        <w:bottom w:val="none" w:sz="0" w:space="0" w:color="auto"/>
        <w:right w:val="none" w:sz="0" w:space="0" w:color="auto"/>
      </w:divBdr>
    </w:div>
    <w:div w:id="612899759">
      <w:bodyDiv w:val="1"/>
      <w:marLeft w:val="0"/>
      <w:marRight w:val="0"/>
      <w:marTop w:val="0"/>
      <w:marBottom w:val="0"/>
      <w:divBdr>
        <w:top w:val="none" w:sz="0" w:space="0" w:color="auto"/>
        <w:left w:val="none" w:sz="0" w:space="0" w:color="auto"/>
        <w:bottom w:val="none" w:sz="0" w:space="0" w:color="auto"/>
        <w:right w:val="none" w:sz="0" w:space="0" w:color="auto"/>
      </w:divBdr>
    </w:div>
    <w:div w:id="626085218">
      <w:bodyDiv w:val="1"/>
      <w:marLeft w:val="0"/>
      <w:marRight w:val="0"/>
      <w:marTop w:val="0"/>
      <w:marBottom w:val="0"/>
      <w:divBdr>
        <w:top w:val="none" w:sz="0" w:space="0" w:color="auto"/>
        <w:left w:val="none" w:sz="0" w:space="0" w:color="auto"/>
        <w:bottom w:val="none" w:sz="0" w:space="0" w:color="auto"/>
        <w:right w:val="none" w:sz="0" w:space="0" w:color="auto"/>
      </w:divBdr>
    </w:div>
    <w:div w:id="657002440">
      <w:bodyDiv w:val="1"/>
      <w:marLeft w:val="0"/>
      <w:marRight w:val="0"/>
      <w:marTop w:val="0"/>
      <w:marBottom w:val="0"/>
      <w:divBdr>
        <w:top w:val="none" w:sz="0" w:space="0" w:color="auto"/>
        <w:left w:val="none" w:sz="0" w:space="0" w:color="auto"/>
        <w:bottom w:val="none" w:sz="0" w:space="0" w:color="auto"/>
        <w:right w:val="none" w:sz="0" w:space="0" w:color="auto"/>
      </w:divBdr>
    </w:div>
    <w:div w:id="780035377">
      <w:bodyDiv w:val="1"/>
      <w:marLeft w:val="0"/>
      <w:marRight w:val="0"/>
      <w:marTop w:val="0"/>
      <w:marBottom w:val="0"/>
      <w:divBdr>
        <w:top w:val="none" w:sz="0" w:space="0" w:color="auto"/>
        <w:left w:val="none" w:sz="0" w:space="0" w:color="auto"/>
        <w:bottom w:val="none" w:sz="0" w:space="0" w:color="auto"/>
        <w:right w:val="none" w:sz="0" w:space="0" w:color="auto"/>
      </w:divBdr>
    </w:div>
    <w:div w:id="791554520">
      <w:bodyDiv w:val="1"/>
      <w:marLeft w:val="0"/>
      <w:marRight w:val="0"/>
      <w:marTop w:val="0"/>
      <w:marBottom w:val="0"/>
      <w:divBdr>
        <w:top w:val="none" w:sz="0" w:space="0" w:color="auto"/>
        <w:left w:val="none" w:sz="0" w:space="0" w:color="auto"/>
        <w:bottom w:val="none" w:sz="0" w:space="0" w:color="auto"/>
        <w:right w:val="none" w:sz="0" w:space="0" w:color="auto"/>
      </w:divBdr>
    </w:div>
    <w:div w:id="794523168">
      <w:bodyDiv w:val="1"/>
      <w:marLeft w:val="0"/>
      <w:marRight w:val="0"/>
      <w:marTop w:val="0"/>
      <w:marBottom w:val="0"/>
      <w:divBdr>
        <w:top w:val="none" w:sz="0" w:space="0" w:color="auto"/>
        <w:left w:val="none" w:sz="0" w:space="0" w:color="auto"/>
        <w:bottom w:val="none" w:sz="0" w:space="0" w:color="auto"/>
        <w:right w:val="none" w:sz="0" w:space="0" w:color="auto"/>
      </w:divBdr>
    </w:div>
    <w:div w:id="810177885">
      <w:bodyDiv w:val="1"/>
      <w:marLeft w:val="0"/>
      <w:marRight w:val="0"/>
      <w:marTop w:val="0"/>
      <w:marBottom w:val="0"/>
      <w:divBdr>
        <w:top w:val="none" w:sz="0" w:space="0" w:color="auto"/>
        <w:left w:val="none" w:sz="0" w:space="0" w:color="auto"/>
        <w:bottom w:val="none" w:sz="0" w:space="0" w:color="auto"/>
        <w:right w:val="none" w:sz="0" w:space="0" w:color="auto"/>
      </w:divBdr>
    </w:div>
    <w:div w:id="814370226">
      <w:bodyDiv w:val="1"/>
      <w:marLeft w:val="0"/>
      <w:marRight w:val="0"/>
      <w:marTop w:val="0"/>
      <w:marBottom w:val="0"/>
      <w:divBdr>
        <w:top w:val="none" w:sz="0" w:space="0" w:color="auto"/>
        <w:left w:val="none" w:sz="0" w:space="0" w:color="auto"/>
        <w:bottom w:val="none" w:sz="0" w:space="0" w:color="auto"/>
        <w:right w:val="none" w:sz="0" w:space="0" w:color="auto"/>
      </w:divBdr>
    </w:div>
    <w:div w:id="855726711">
      <w:bodyDiv w:val="1"/>
      <w:marLeft w:val="0"/>
      <w:marRight w:val="0"/>
      <w:marTop w:val="0"/>
      <w:marBottom w:val="0"/>
      <w:divBdr>
        <w:top w:val="none" w:sz="0" w:space="0" w:color="auto"/>
        <w:left w:val="none" w:sz="0" w:space="0" w:color="auto"/>
        <w:bottom w:val="none" w:sz="0" w:space="0" w:color="auto"/>
        <w:right w:val="none" w:sz="0" w:space="0" w:color="auto"/>
      </w:divBdr>
    </w:div>
    <w:div w:id="887571006">
      <w:bodyDiv w:val="1"/>
      <w:marLeft w:val="0"/>
      <w:marRight w:val="0"/>
      <w:marTop w:val="0"/>
      <w:marBottom w:val="0"/>
      <w:divBdr>
        <w:top w:val="none" w:sz="0" w:space="0" w:color="auto"/>
        <w:left w:val="none" w:sz="0" w:space="0" w:color="auto"/>
        <w:bottom w:val="none" w:sz="0" w:space="0" w:color="auto"/>
        <w:right w:val="none" w:sz="0" w:space="0" w:color="auto"/>
      </w:divBdr>
    </w:div>
    <w:div w:id="914899821">
      <w:bodyDiv w:val="1"/>
      <w:marLeft w:val="0"/>
      <w:marRight w:val="0"/>
      <w:marTop w:val="0"/>
      <w:marBottom w:val="0"/>
      <w:divBdr>
        <w:top w:val="none" w:sz="0" w:space="0" w:color="auto"/>
        <w:left w:val="none" w:sz="0" w:space="0" w:color="auto"/>
        <w:bottom w:val="none" w:sz="0" w:space="0" w:color="auto"/>
        <w:right w:val="none" w:sz="0" w:space="0" w:color="auto"/>
      </w:divBdr>
    </w:div>
    <w:div w:id="943731241">
      <w:bodyDiv w:val="1"/>
      <w:marLeft w:val="0"/>
      <w:marRight w:val="0"/>
      <w:marTop w:val="0"/>
      <w:marBottom w:val="0"/>
      <w:divBdr>
        <w:top w:val="none" w:sz="0" w:space="0" w:color="auto"/>
        <w:left w:val="none" w:sz="0" w:space="0" w:color="auto"/>
        <w:bottom w:val="none" w:sz="0" w:space="0" w:color="auto"/>
        <w:right w:val="none" w:sz="0" w:space="0" w:color="auto"/>
      </w:divBdr>
    </w:div>
    <w:div w:id="982781878">
      <w:bodyDiv w:val="1"/>
      <w:marLeft w:val="0"/>
      <w:marRight w:val="0"/>
      <w:marTop w:val="0"/>
      <w:marBottom w:val="0"/>
      <w:divBdr>
        <w:top w:val="none" w:sz="0" w:space="0" w:color="auto"/>
        <w:left w:val="none" w:sz="0" w:space="0" w:color="auto"/>
        <w:bottom w:val="none" w:sz="0" w:space="0" w:color="auto"/>
        <w:right w:val="none" w:sz="0" w:space="0" w:color="auto"/>
      </w:divBdr>
    </w:div>
    <w:div w:id="1072310951">
      <w:bodyDiv w:val="1"/>
      <w:marLeft w:val="0"/>
      <w:marRight w:val="0"/>
      <w:marTop w:val="0"/>
      <w:marBottom w:val="0"/>
      <w:divBdr>
        <w:top w:val="none" w:sz="0" w:space="0" w:color="auto"/>
        <w:left w:val="none" w:sz="0" w:space="0" w:color="auto"/>
        <w:bottom w:val="none" w:sz="0" w:space="0" w:color="auto"/>
        <w:right w:val="none" w:sz="0" w:space="0" w:color="auto"/>
      </w:divBdr>
    </w:div>
    <w:div w:id="1076391821">
      <w:bodyDiv w:val="1"/>
      <w:marLeft w:val="0"/>
      <w:marRight w:val="0"/>
      <w:marTop w:val="0"/>
      <w:marBottom w:val="0"/>
      <w:divBdr>
        <w:top w:val="none" w:sz="0" w:space="0" w:color="auto"/>
        <w:left w:val="none" w:sz="0" w:space="0" w:color="auto"/>
        <w:bottom w:val="none" w:sz="0" w:space="0" w:color="auto"/>
        <w:right w:val="none" w:sz="0" w:space="0" w:color="auto"/>
      </w:divBdr>
    </w:div>
    <w:div w:id="1113745964">
      <w:bodyDiv w:val="1"/>
      <w:marLeft w:val="0"/>
      <w:marRight w:val="0"/>
      <w:marTop w:val="0"/>
      <w:marBottom w:val="0"/>
      <w:divBdr>
        <w:top w:val="none" w:sz="0" w:space="0" w:color="auto"/>
        <w:left w:val="none" w:sz="0" w:space="0" w:color="auto"/>
        <w:bottom w:val="none" w:sz="0" w:space="0" w:color="auto"/>
        <w:right w:val="none" w:sz="0" w:space="0" w:color="auto"/>
      </w:divBdr>
    </w:div>
    <w:div w:id="1150056531">
      <w:bodyDiv w:val="1"/>
      <w:marLeft w:val="0"/>
      <w:marRight w:val="0"/>
      <w:marTop w:val="0"/>
      <w:marBottom w:val="0"/>
      <w:divBdr>
        <w:top w:val="none" w:sz="0" w:space="0" w:color="auto"/>
        <w:left w:val="none" w:sz="0" w:space="0" w:color="auto"/>
        <w:bottom w:val="none" w:sz="0" w:space="0" w:color="auto"/>
        <w:right w:val="none" w:sz="0" w:space="0" w:color="auto"/>
      </w:divBdr>
    </w:div>
    <w:div w:id="1243949740">
      <w:bodyDiv w:val="1"/>
      <w:marLeft w:val="0"/>
      <w:marRight w:val="0"/>
      <w:marTop w:val="0"/>
      <w:marBottom w:val="0"/>
      <w:divBdr>
        <w:top w:val="none" w:sz="0" w:space="0" w:color="auto"/>
        <w:left w:val="none" w:sz="0" w:space="0" w:color="auto"/>
        <w:bottom w:val="none" w:sz="0" w:space="0" w:color="auto"/>
        <w:right w:val="none" w:sz="0" w:space="0" w:color="auto"/>
      </w:divBdr>
    </w:div>
    <w:div w:id="1312639433">
      <w:bodyDiv w:val="1"/>
      <w:marLeft w:val="0"/>
      <w:marRight w:val="0"/>
      <w:marTop w:val="0"/>
      <w:marBottom w:val="0"/>
      <w:divBdr>
        <w:top w:val="none" w:sz="0" w:space="0" w:color="auto"/>
        <w:left w:val="none" w:sz="0" w:space="0" w:color="auto"/>
        <w:bottom w:val="none" w:sz="0" w:space="0" w:color="auto"/>
        <w:right w:val="none" w:sz="0" w:space="0" w:color="auto"/>
      </w:divBdr>
    </w:div>
    <w:div w:id="1334532794">
      <w:bodyDiv w:val="1"/>
      <w:marLeft w:val="0"/>
      <w:marRight w:val="0"/>
      <w:marTop w:val="0"/>
      <w:marBottom w:val="0"/>
      <w:divBdr>
        <w:top w:val="none" w:sz="0" w:space="0" w:color="auto"/>
        <w:left w:val="none" w:sz="0" w:space="0" w:color="auto"/>
        <w:bottom w:val="none" w:sz="0" w:space="0" w:color="auto"/>
        <w:right w:val="none" w:sz="0" w:space="0" w:color="auto"/>
      </w:divBdr>
    </w:div>
    <w:div w:id="1334841624">
      <w:bodyDiv w:val="1"/>
      <w:marLeft w:val="0"/>
      <w:marRight w:val="0"/>
      <w:marTop w:val="0"/>
      <w:marBottom w:val="0"/>
      <w:divBdr>
        <w:top w:val="none" w:sz="0" w:space="0" w:color="auto"/>
        <w:left w:val="none" w:sz="0" w:space="0" w:color="auto"/>
        <w:bottom w:val="none" w:sz="0" w:space="0" w:color="auto"/>
        <w:right w:val="none" w:sz="0" w:space="0" w:color="auto"/>
      </w:divBdr>
    </w:div>
    <w:div w:id="1338845746">
      <w:bodyDiv w:val="1"/>
      <w:marLeft w:val="0"/>
      <w:marRight w:val="0"/>
      <w:marTop w:val="0"/>
      <w:marBottom w:val="0"/>
      <w:divBdr>
        <w:top w:val="none" w:sz="0" w:space="0" w:color="auto"/>
        <w:left w:val="none" w:sz="0" w:space="0" w:color="auto"/>
        <w:bottom w:val="none" w:sz="0" w:space="0" w:color="auto"/>
        <w:right w:val="none" w:sz="0" w:space="0" w:color="auto"/>
      </w:divBdr>
    </w:div>
    <w:div w:id="1375932930">
      <w:bodyDiv w:val="1"/>
      <w:marLeft w:val="0"/>
      <w:marRight w:val="0"/>
      <w:marTop w:val="0"/>
      <w:marBottom w:val="0"/>
      <w:divBdr>
        <w:top w:val="none" w:sz="0" w:space="0" w:color="auto"/>
        <w:left w:val="none" w:sz="0" w:space="0" w:color="auto"/>
        <w:bottom w:val="none" w:sz="0" w:space="0" w:color="auto"/>
        <w:right w:val="none" w:sz="0" w:space="0" w:color="auto"/>
      </w:divBdr>
    </w:div>
    <w:div w:id="1411737517">
      <w:bodyDiv w:val="1"/>
      <w:marLeft w:val="0"/>
      <w:marRight w:val="0"/>
      <w:marTop w:val="0"/>
      <w:marBottom w:val="0"/>
      <w:divBdr>
        <w:top w:val="none" w:sz="0" w:space="0" w:color="auto"/>
        <w:left w:val="none" w:sz="0" w:space="0" w:color="auto"/>
        <w:bottom w:val="none" w:sz="0" w:space="0" w:color="auto"/>
        <w:right w:val="none" w:sz="0" w:space="0" w:color="auto"/>
      </w:divBdr>
    </w:div>
    <w:div w:id="1426345161">
      <w:bodyDiv w:val="1"/>
      <w:marLeft w:val="0"/>
      <w:marRight w:val="0"/>
      <w:marTop w:val="0"/>
      <w:marBottom w:val="0"/>
      <w:divBdr>
        <w:top w:val="none" w:sz="0" w:space="0" w:color="auto"/>
        <w:left w:val="none" w:sz="0" w:space="0" w:color="auto"/>
        <w:bottom w:val="none" w:sz="0" w:space="0" w:color="auto"/>
        <w:right w:val="none" w:sz="0" w:space="0" w:color="auto"/>
      </w:divBdr>
    </w:div>
    <w:div w:id="1427263689">
      <w:bodyDiv w:val="1"/>
      <w:marLeft w:val="0"/>
      <w:marRight w:val="0"/>
      <w:marTop w:val="0"/>
      <w:marBottom w:val="0"/>
      <w:divBdr>
        <w:top w:val="none" w:sz="0" w:space="0" w:color="auto"/>
        <w:left w:val="none" w:sz="0" w:space="0" w:color="auto"/>
        <w:bottom w:val="none" w:sz="0" w:space="0" w:color="auto"/>
        <w:right w:val="none" w:sz="0" w:space="0" w:color="auto"/>
      </w:divBdr>
    </w:div>
    <w:div w:id="1591239004">
      <w:bodyDiv w:val="1"/>
      <w:marLeft w:val="0"/>
      <w:marRight w:val="0"/>
      <w:marTop w:val="0"/>
      <w:marBottom w:val="0"/>
      <w:divBdr>
        <w:top w:val="none" w:sz="0" w:space="0" w:color="auto"/>
        <w:left w:val="none" w:sz="0" w:space="0" w:color="auto"/>
        <w:bottom w:val="none" w:sz="0" w:space="0" w:color="auto"/>
        <w:right w:val="none" w:sz="0" w:space="0" w:color="auto"/>
      </w:divBdr>
    </w:div>
    <w:div w:id="1680502688">
      <w:bodyDiv w:val="1"/>
      <w:marLeft w:val="0"/>
      <w:marRight w:val="0"/>
      <w:marTop w:val="0"/>
      <w:marBottom w:val="0"/>
      <w:divBdr>
        <w:top w:val="none" w:sz="0" w:space="0" w:color="auto"/>
        <w:left w:val="none" w:sz="0" w:space="0" w:color="auto"/>
        <w:bottom w:val="none" w:sz="0" w:space="0" w:color="auto"/>
        <w:right w:val="none" w:sz="0" w:space="0" w:color="auto"/>
      </w:divBdr>
    </w:div>
    <w:div w:id="1701321438">
      <w:bodyDiv w:val="1"/>
      <w:marLeft w:val="0"/>
      <w:marRight w:val="0"/>
      <w:marTop w:val="0"/>
      <w:marBottom w:val="0"/>
      <w:divBdr>
        <w:top w:val="none" w:sz="0" w:space="0" w:color="auto"/>
        <w:left w:val="none" w:sz="0" w:space="0" w:color="auto"/>
        <w:bottom w:val="none" w:sz="0" w:space="0" w:color="auto"/>
        <w:right w:val="none" w:sz="0" w:space="0" w:color="auto"/>
      </w:divBdr>
    </w:div>
    <w:div w:id="1811284669">
      <w:bodyDiv w:val="1"/>
      <w:marLeft w:val="0"/>
      <w:marRight w:val="0"/>
      <w:marTop w:val="0"/>
      <w:marBottom w:val="0"/>
      <w:divBdr>
        <w:top w:val="none" w:sz="0" w:space="0" w:color="auto"/>
        <w:left w:val="none" w:sz="0" w:space="0" w:color="auto"/>
        <w:bottom w:val="none" w:sz="0" w:space="0" w:color="auto"/>
        <w:right w:val="none" w:sz="0" w:space="0" w:color="auto"/>
      </w:divBdr>
    </w:div>
    <w:div w:id="1871910911">
      <w:bodyDiv w:val="1"/>
      <w:marLeft w:val="0"/>
      <w:marRight w:val="0"/>
      <w:marTop w:val="0"/>
      <w:marBottom w:val="0"/>
      <w:divBdr>
        <w:top w:val="none" w:sz="0" w:space="0" w:color="auto"/>
        <w:left w:val="none" w:sz="0" w:space="0" w:color="auto"/>
        <w:bottom w:val="none" w:sz="0" w:space="0" w:color="auto"/>
        <w:right w:val="none" w:sz="0" w:space="0" w:color="auto"/>
      </w:divBdr>
    </w:div>
    <w:div w:id="1882551422">
      <w:bodyDiv w:val="1"/>
      <w:marLeft w:val="0"/>
      <w:marRight w:val="0"/>
      <w:marTop w:val="0"/>
      <w:marBottom w:val="0"/>
      <w:divBdr>
        <w:top w:val="none" w:sz="0" w:space="0" w:color="auto"/>
        <w:left w:val="none" w:sz="0" w:space="0" w:color="auto"/>
        <w:bottom w:val="none" w:sz="0" w:space="0" w:color="auto"/>
        <w:right w:val="none" w:sz="0" w:space="0" w:color="auto"/>
      </w:divBdr>
    </w:div>
    <w:div w:id="2024168139">
      <w:bodyDiv w:val="1"/>
      <w:marLeft w:val="0"/>
      <w:marRight w:val="0"/>
      <w:marTop w:val="0"/>
      <w:marBottom w:val="0"/>
      <w:divBdr>
        <w:top w:val="none" w:sz="0" w:space="0" w:color="auto"/>
        <w:left w:val="none" w:sz="0" w:space="0" w:color="auto"/>
        <w:bottom w:val="none" w:sz="0" w:space="0" w:color="auto"/>
        <w:right w:val="none" w:sz="0" w:space="0" w:color="auto"/>
      </w:divBdr>
    </w:div>
    <w:div w:id="2068335164">
      <w:bodyDiv w:val="1"/>
      <w:marLeft w:val="0"/>
      <w:marRight w:val="0"/>
      <w:marTop w:val="0"/>
      <w:marBottom w:val="0"/>
      <w:divBdr>
        <w:top w:val="none" w:sz="0" w:space="0" w:color="auto"/>
        <w:left w:val="none" w:sz="0" w:space="0" w:color="auto"/>
        <w:bottom w:val="none" w:sz="0" w:space="0" w:color="auto"/>
        <w:right w:val="none" w:sz="0" w:space="0" w:color="auto"/>
      </w:divBdr>
    </w:div>
    <w:div w:id="2097432361">
      <w:bodyDiv w:val="1"/>
      <w:marLeft w:val="0"/>
      <w:marRight w:val="0"/>
      <w:marTop w:val="0"/>
      <w:marBottom w:val="0"/>
      <w:divBdr>
        <w:top w:val="none" w:sz="0" w:space="0" w:color="auto"/>
        <w:left w:val="none" w:sz="0" w:space="0" w:color="auto"/>
        <w:bottom w:val="none" w:sz="0" w:space="0" w:color="auto"/>
        <w:right w:val="none" w:sz="0" w:space="0" w:color="auto"/>
      </w:divBdr>
    </w:div>
    <w:div w:id="2102603167">
      <w:bodyDiv w:val="1"/>
      <w:marLeft w:val="0"/>
      <w:marRight w:val="0"/>
      <w:marTop w:val="0"/>
      <w:marBottom w:val="0"/>
      <w:divBdr>
        <w:top w:val="none" w:sz="0" w:space="0" w:color="auto"/>
        <w:left w:val="none" w:sz="0" w:space="0" w:color="auto"/>
        <w:bottom w:val="none" w:sz="0" w:space="0" w:color="auto"/>
        <w:right w:val="none" w:sz="0" w:space="0" w:color="auto"/>
      </w:divBdr>
    </w:div>
    <w:div w:id="2111464028">
      <w:bodyDiv w:val="1"/>
      <w:marLeft w:val="0"/>
      <w:marRight w:val="0"/>
      <w:marTop w:val="0"/>
      <w:marBottom w:val="0"/>
      <w:divBdr>
        <w:top w:val="none" w:sz="0" w:space="0" w:color="auto"/>
        <w:left w:val="none" w:sz="0" w:space="0" w:color="auto"/>
        <w:bottom w:val="none" w:sz="0" w:space="0" w:color="auto"/>
        <w:right w:val="none" w:sz="0" w:space="0" w:color="auto"/>
      </w:divBdr>
    </w:div>
    <w:div w:id="214145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image" Target="media/image17.png"/><Relationship Id="rId39" Type="http://schemas.openxmlformats.org/officeDocument/2006/relationships/image" Target="media/image30.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7.png"/><Relationship Id="rId10" Type="http://schemas.openxmlformats.org/officeDocument/2006/relationships/hyperlink" Target="http://www.efama.org" TargetMode="External"/><Relationship Id="rId19" Type="http://schemas.openxmlformats.org/officeDocument/2006/relationships/image" Target="media/image10.png"/><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emf"/><Relationship Id="rId35" Type="http://schemas.openxmlformats.org/officeDocument/2006/relationships/image" Target="media/image26.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64B3-78C9-4AB7-8269-F83B201D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1584</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EFAMA</Company>
  <LinksUpToDate>false</LinksUpToDate>
  <CharactersWithSpaces>9667</CharactersWithSpaces>
  <SharedDoc>false</SharedDoc>
  <HLinks>
    <vt:vector size="6" baseType="variant">
      <vt:variant>
        <vt:i4>4587527</vt:i4>
      </vt:variant>
      <vt:variant>
        <vt:i4>3</vt:i4>
      </vt:variant>
      <vt:variant>
        <vt:i4>0</vt:i4>
      </vt:variant>
      <vt:variant>
        <vt:i4>5</vt:i4>
      </vt:variant>
      <vt:variant>
        <vt:lpwstr>http://www.efama.org/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 Delbecque</dc:creator>
  <cp:keywords/>
  <dc:description/>
  <cp:lastModifiedBy>Bernard Delbecque</cp:lastModifiedBy>
  <cp:revision>2</cp:revision>
  <cp:lastPrinted>2019-06-03T08:39:00Z</cp:lastPrinted>
  <dcterms:created xsi:type="dcterms:W3CDTF">2019-06-03T10:24:00Z</dcterms:created>
  <dcterms:modified xsi:type="dcterms:W3CDTF">2019-06-03T10:24:00Z</dcterms:modified>
</cp:coreProperties>
</file>